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456"/>
        <w:gridCol w:w="11071"/>
      </w:tblGrid>
      <w:tr w:rsidR="008A07E3" w:rsidRPr="009F2BD1" w:rsidTr="002F48DC">
        <w:trPr>
          <w:trHeight w:val="1545"/>
        </w:trPr>
        <w:tc>
          <w:tcPr>
            <w:tcW w:w="3456" w:type="dxa"/>
          </w:tcPr>
          <w:p w:rsidR="00CB3767" w:rsidRPr="00F470EF" w:rsidRDefault="002F48DC" w:rsidP="00B57A9B">
            <w:pPr>
              <w:jc w:val="left"/>
              <w:rPr>
                <w:rFonts w:ascii="Arial" w:hAnsi="Arial" w:cs="Arial"/>
                <w:sz w:val="24"/>
                <w:szCs w:val="24"/>
              </w:rPr>
            </w:pPr>
            <w:bookmarkStart w:id="0" w:name="_GoBack"/>
            <w:bookmarkEnd w:id="0"/>
            <w:r>
              <w:rPr>
                <w:rFonts w:ascii="Arial" w:hAnsi="Arial" w:cs="Arial"/>
                <w:noProof/>
                <w:sz w:val="24"/>
                <w:szCs w:val="24"/>
              </w:rPr>
              <w:drawing>
                <wp:inline distT="0" distB="0" distL="0" distR="0" wp14:anchorId="5E80991E" wp14:editId="067EF097">
                  <wp:extent cx="2052083" cy="122274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of-Maine-1.jpg"/>
                          <pic:cNvPicPr/>
                        </pic:nvPicPr>
                        <pic:blipFill>
                          <a:blip r:embed="rId12">
                            <a:extLst>
                              <a:ext uri="{28A0092B-C50C-407E-A947-70E740481C1C}">
                                <a14:useLocalDpi xmlns:a14="http://schemas.microsoft.com/office/drawing/2010/main" val="0"/>
                              </a:ext>
                            </a:extLst>
                          </a:blip>
                          <a:stretch>
                            <a:fillRect/>
                          </a:stretch>
                        </pic:blipFill>
                        <pic:spPr>
                          <a:xfrm>
                            <a:off x="0" y="0"/>
                            <a:ext cx="2048907" cy="1220853"/>
                          </a:xfrm>
                          <a:prstGeom prst="rect">
                            <a:avLst/>
                          </a:prstGeom>
                        </pic:spPr>
                      </pic:pic>
                    </a:graphicData>
                  </a:graphic>
                </wp:inline>
              </w:drawing>
            </w:r>
          </w:p>
        </w:tc>
        <w:tc>
          <w:tcPr>
            <w:tcW w:w="11071" w:type="dxa"/>
          </w:tcPr>
          <w:p w:rsidR="00B7641E" w:rsidRPr="009F2BD1" w:rsidRDefault="00074DC5" w:rsidP="009F2BD1">
            <w:pPr>
              <w:rPr>
                <w:b/>
                <w:color w:val="1F497D" w:themeColor="text2"/>
                <w:sz w:val="28"/>
                <w:szCs w:val="28"/>
              </w:rPr>
            </w:pPr>
            <w:r>
              <w:rPr>
                <w:b/>
                <w:color w:val="1F497D" w:themeColor="text2"/>
                <w:sz w:val="28"/>
                <w:szCs w:val="28"/>
              </w:rPr>
              <w:t>Payment Reform</w:t>
            </w:r>
            <w:r w:rsidR="00FA28D7">
              <w:rPr>
                <w:b/>
                <w:color w:val="1F497D" w:themeColor="text2"/>
                <w:sz w:val="28"/>
                <w:szCs w:val="28"/>
              </w:rPr>
              <w:t xml:space="preserve"> </w:t>
            </w:r>
            <w:r w:rsidR="00981AED" w:rsidRPr="009F2BD1">
              <w:rPr>
                <w:b/>
                <w:color w:val="1F497D" w:themeColor="text2"/>
                <w:sz w:val="28"/>
                <w:szCs w:val="28"/>
              </w:rPr>
              <w:t>S</w:t>
            </w:r>
            <w:r w:rsidR="00DA4F5E" w:rsidRPr="009F2BD1">
              <w:rPr>
                <w:b/>
                <w:color w:val="1F497D" w:themeColor="text2"/>
                <w:sz w:val="28"/>
                <w:szCs w:val="28"/>
              </w:rPr>
              <w:t>ubcommittee</w:t>
            </w:r>
          </w:p>
          <w:p w:rsidR="00B7641E" w:rsidRPr="009F2BD1" w:rsidRDefault="00B7641E" w:rsidP="009F2BD1">
            <w:pPr>
              <w:rPr>
                <w:b/>
                <w:color w:val="1F497D" w:themeColor="text2"/>
                <w:sz w:val="10"/>
              </w:rPr>
            </w:pPr>
          </w:p>
          <w:p w:rsidR="00074DC5" w:rsidRPr="00074DC5" w:rsidRDefault="00074DC5" w:rsidP="00074DC5">
            <w:pPr>
              <w:rPr>
                <w:b/>
                <w:color w:val="1F497D" w:themeColor="text2"/>
              </w:rPr>
            </w:pPr>
            <w:r w:rsidRPr="00074DC5">
              <w:rPr>
                <w:b/>
                <w:color w:val="1F497D" w:themeColor="text2"/>
              </w:rPr>
              <w:t>Date: June 17, 2014</w:t>
            </w:r>
          </w:p>
          <w:p w:rsidR="00074DC5" w:rsidRPr="00074DC5" w:rsidRDefault="00074DC5" w:rsidP="00074DC5">
            <w:pPr>
              <w:rPr>
                <w:b/>
                <w:color w:val="1F497D" w:themeColor="text2"/>
              </w:rPr>
            </w:pPr>
            <w:r w:rsidRPr="00074DC5">
              <w:rPr>
                <w:b/>
                <w:color w:val="1F497D" w:themeColor="text2"/>
              </w:rPr>
              <w:t>Time: 3:00 to 5:00 pm</w:t>
            </w:r>
          </w:p>
          <w:p w:rsidR="00074DC5" w:rsidRPr="00074DC5" w:rsidRDefault="00074DC5" w:rsidP="00074DC5">
            <w:pPr>
              <w:rPr>
                <w:b/>
                <w:color w:val="1F497D" w:themeColor="text2"/>
              </w:rPr>
            </w:pPr>
            <w:r w:rsidRPr="00074DC5">
              <w:rPr>
                <w:b/>
                <w:color w:val="1F497D" w:themeColor="text2"/>
              </w:rPr>
              <w:t xml:space="preserve">Location: </w:t>
            </w:r>
            <w:proofErr w:type="spellStart"/>
            <w:r w:rsidRPr="00074DC5">
              <w:rPr>
                <w:b/>
                <w:color w:val="1F497D" w:themeColor="text2"/>
              </w:rPr>
              <w:t>MaineGeneral</w:t>
            </w:r>
            <w:proofErr w:type="spellEnd"/>
            <w:r w:rsidRPr="00074DC5">
              <w:rPr>
                <w:b/>
                <w:color w:val="1F497D" w:themeColor="text2"/>
              </w:rPr>
              <w:t xml:space="preserve"> Medical Center</w:t>
            </w:r>
          </w:p>
          <w:p w:rsidR="00CB3767" w:rsidRPr="009F2BD1" w:rsidRDefault="00CB3767" w:rsidP="00FA28D7">
            <w:pPr>
              <w:rPr>
                <w:b/>
                <w:color w:val="548DD4" w:themeColor="text2" w:themeTint="99"/>
              </w:rPr>
            </w:pPr>
          </w:p>
        </w:tc>
      </w:tr>
    </w:tbl>
    <w:p w:rsidR="00783336" w:rsidRPr="00F470EF" w:rsidRDefault="00783336" w:rsidP="00B57A9B">
      <w:pPr>
        <w:jc w:val="left"/>
        <w:rPr>
          <w:rFonts w:ascii="Arial" w:hAnsi="Arial" w:cs="Arial"/>
          <w:sz w:val="24"/>
          <w:szCs w:val="24"/>
        </w:rPr>
      </w:pPr>
    </w:p>
    <w:p w:rsidR="00EC2CBE" w:rsidRPr="00EC2CBE" w:rsidRDefault="00E82E95" w:rsidP="00074DC5">
      <w:pPr>
        <w:tabs>
          <w:tab w:val="left" w:pos="1867"/>
        </w:tabs>
        <w:jc w:val="left"/>
        <w:rPr>
          <w:rFonts w:cstheme="minorHAnsi"/>
          <w:b/>
        </w:rPr>
      </w:pPr>
      <w:r>
        <w:rPr>
          <w:rFonts w:cstheme="minorHAnsi"/>
          <w:b/>
        </w:rPr>
        <w:t>Chair</w:t>
      </w:r>
      <w:r w:rsidR="00FA28D7">
        <w:rPr>
          <w:rFonts w:cstheme="minorHAnsi"/>
          <w:b/>
        </w:rPr>
        <w:t xml:space="preserve"> and Staff</w:t>
      </w:r>
      <w:r>
        <w:rPr>
          <w:rFonts w:cstheme="minorHAnsi"/>
          <w:b/>
        </w:rPr>
        <w:t xml:space="preserve">: </w:t>
      </w:r>
      <w:r w:rsidR="00074DC5">
        <w:rPr>
          <w:rFonts w:cstheme="minorHAnsi"/>
          <w:b/>
        </w:rPr>
        <w:tab/>
      </w:r>
      <w:r w:rsidR="00074DC5">
        <w:t>Andy Webber, Ellen Schneiter, Blake Hendrickson, Lyndsay Sanborn, Frank Johnson</w:t>
      </w:r>
    </w:p>
    <w:p w:rsidR="00E82E95" w:rsidRDefault="00E82E95" w:rsidP="00D90642">
      <w:pPr>
        <w:jc w:val="left"/>
        <w:rPr>
          <w:rFonts w:cstheme="minorHAnsi"/>
          <w:b/>
        </w:rPr>
      </w:pPr>
    </w:p>
    <w:p w:rsidR="00FB5382" w:rsidRPr="00630F9B" w:rsidRDefault="00E82E95" w:rsidP="00630F9B">
      <w:pPr>
        <w:pStyle w:val="NoSpacing"/>
        <w:jc w:val="both"/>
      </w:pPr>
      <w:r w:rsidRPr="00E95CFE">
        <w:rPr>
          <w:rFonts w:cstheme="minorHAnsi"/>
          <w:b/>
          <w:u w:val="single"/>
        </w:rPr>
        <w:t xml:space="preserve">Member </w:t>
      </w:r>
      <w:r w:rsidR="00CB3767" w:rsidRPr="00E95CFE">
        <w:rPr>
          <w:rFonts w:cstheme="minorHAnsi"/>
          <w:b/>
          <w:u w:val="single"/>
        </w:rPr>
        <w:t>Attendance</w:t>
      </w:r>
      <w:r w:rsidR="008447C5">
        <w:rPr>
          <w:rFonts w:cstheme="minorHAnsi"/>
          <w:b/>
          <w:u w:val="single"/>
        </w:rPr>
        <w:t xml:space="preserve"> (A-Z)</w:t>
      </w:r>
      <w:r w:rsidR="00CB3767" w:rsidRPr="00E95CFE">
        <w:rPr>
          <w:rFonts w:cstheme="minorHAnsi"/>
          <w:b/>
        </w:rPr>
        <w:t>:</w:t>
      </w:r>
      <w:r w:rsidRPr="00E95CFE">
        <w:rPr>
          <w:rFonts w:cstheme="minorHAnsi"/>
          <w:b/>
        </w:rPr>
        <w:t xml:space="preserve"> </w:t>
      </w:r>
      <w:r w:rsidR="00123CC3">
        <w:rPr>
          <w:rFonts w:cstheme="minorHAnsi"/>
          <w:b/>
        </w:rPr>
        <w:t xml:space="preserve"> </w:t>
      </w:r>
      <w:r w:rsidR="00074DC5" w:rsidRPr="00057E23">
        <w:t>Shaun Alfreds</w:t>
      </w:r>
      <w:r w:rsidR="00074DC5">
        <w:t>,</w:t>
      </w:r>
      <w:r w:rsidR="00074DC5" w:rsidRPr="00057E23">
        <w:t xml:space="preserve"> </w:t>
      </w:r>
      <w:proofErr w:type="spellStart"/>
      <w:r w:rsidR="00074DC5" w:rsidRPr="00057E23">
        <w:t>HealthInfoNet</w:t>
      </w:r>
      <w:proofErr w:type="spellEnd"/>
      <w:r w:rsidR="00074DC5" w:rsidRPr="00057E23">
        <w:t>,</w:t>
      </w:r>
      <w:r w:rsidR="00074DC5">
        <w:t xml:space="preserve">;Mark </w:t>
      </w:r>
      <w:proofErr w:type="spellStart"/>
      <w:r w:rsidR="00074DC5">
        <w:t>Biscone</w:t>
      </w:r>
      <w:proofErr w:type="spellEnd"/>
      <w:r w:rsidR="00074DC5">
        <w:t xml:space="preserve">, Waldo County General Hospital; Dr. Barbara Crowley, </w:t>
      </w:r>
      <w:proofErr w:type="spellStart"/>
      <w:r w:rsidR="00074DC5">
        <w:t>MainGeneral</w:t>
      </w:r>
      <w:proofErr w:type="spellEnd"/>
      <w:r w:rsidR="00074DC5">
        <w:t xml:space="preserve"> Health; Pat Denning, Harvard Pilgrim Health Care; Chrissi Harding, Mt. Desert Island Hospital; Jim Kane, Central Maine ACO; Dr. Akindele Majekodunmi, Northern New England QIO; Michelle </w:t>
      </w:r>
      <w:proofErr w:type="spellStart"/>
      <w:r w:rsidR="00074DC5">
        <w:t>Probert</w:t>
      </w:r>
      <w:proofErr w:type="spellEnd"/>
      <w:r w:rsidR="00074DC5">
        <w:t xml:space="preserve">, </w:t>
      </w:r>
      <w:proofErr w:type="spellStart"/>
      <w:r w:rsidR="00074DC5">
        <w:t>MaineCare</w:t>
      </w:r>
      <w:proofErr w:type="spellEnd"/>
      <w:r w:rsidR="00074DC5">
        <w:t>; Joanne Rawlings-</w:t>
      </w:r>
      <w:proofErr w:type="spellStart"/>
      <w:r w:rsidR="00074DC5">
        <w:t>Sekunda</w:t>
      </w:r>
      <w:proofErr w:type="spellEnd"/>
      <w:r w:rsidR="00074DC5">
        <w:t>, Bureau of Insurance; Ted Rooney, Maine Quality Counts; Cheryl Rust, Consumer, Michelle Sweet, Cigna</w:t>
      </w:r>
      <w:r w:rsidR="00B76C72">
        <w:rPr>
          <w:rFonts w:cstheme="minorHAnsi"/>
        </w:rPr>
        <w:t xml:space="preserve"> </w:t>
      </w:r>
    </w:p>
    <w:p w:rsidR="00D243A2" w:rsidRDefault="00D243A2" w:rsidP="00B50A92">
      <w:pPr>
        <w:jc w:val="left"/>
        <w:rPr>
          <w:rFonts w:cstheme="minorHAnsi"/>
        </w:rPr>
      </w:pPr>
    </w:p>
    <w:p w:rsidR="0033286A" w:rsidRDefault="0033286A" w:rsidP="00B50A92">
      <w:pPr>
        <w:jc w:val="left"/>
        <w:rPr>
          <w:rFonts w:cstheme="minorHAnsi"/>
          <w:b/>
          <w:u w:val="single"/>
        </w:rPr>
      </w:pPr>
      <w:r w:rsidRPr="0033286A">
        <w:rPr>
          <w:rFonts w:cstheme="minorHAnsi"/>
          <w:b/>
          <w:u w:val="single"/>
        </w:rPr>
        <w:t>Interested Parties:</w:t>
      </w:r>
      <w:r>
        <w:rPr>
          <w:rFonts w:cstheme="minorHAnsi"/>
          <w:b/>
          <w:u w:val="single"/>
        </w:rPr>
        <w:t xml:space="preserve"> </w:t>
      </w:r>
      <w:r w:rsidR="00074DC5">
        <w:rPr>
          <w:rFonts w:cstheme="minorHAnsi"/>
          <w:b/>
          <w:u w:val="single"/>
        </w:rPr>
        <w:t xml:space="preserve"> </w:t>
      </w:r>
      <w:r w:rsidR="00074DC5">
        <w:t xml:space="preserve">Randy Chenard, SIM Project Manager; Katie </w:t>
      </w:r>
      <w:proofErr w:type="spellStart"/>
      <w:r w:rsidR="00074DC5">
        <w:t>Fullam</w:t>
      </w:r>
      <w:proofErr w:type="spellEnd"/>
      <w:r w:rsidR="00074DC5">
        <w:t xml:space="preserve">-Harris, </w:t>
      </w:r>
      <w:proofErr w:type="spellStart"/>
      <w:r w:rsidR="00074DC5">
        <w:t>MaineHealth</w:t>
      </w:r>
      <w:proofErr w:type="spellEnd"/>
      <w:r w:rsidR="00074DC5">
        <w:t xml:space="preserve">; Robert Howe, Howe and Cahill; Katherine </w:t>
      </w:r>
      <w:proofErr w:type="spellStart"/>
      <w:r w:rsidR="00074DC5">
        <w:t>Pelletreau</w:t>
      </w:r>
      <w:proofErr w:type="spellEnd"/>
      <w:r w:rsidR="00074DC5">
        <w:t>, Maine Association of Health Plans.</w:t>
      </w:r>
    </w:p>
    <w:p w:rsidR="00FA28D7" w:rsidRDefault="00FA28D7" w:rsidP="00B50A92">
      <w:pPr>
        <w:jc w:val="left"/>
        <w:rPr>
          <w:rFonts w:cstheme="minorHAnsi"/>
        </w:rPr>
      </w:pPr>
    </w:p>
    <w:p w:rsidR="00DA4F5E" w:rsidRPr="00F6206F" w:rsidRDefault="00E82E95" w:rsidP="00B57A9B">
      <w:pPr>
        <w:jc w:val="left"/>
        <w:rPr>
          <w:rFonts w:cstheme="minorHAnsi"/>
        </w:rPr>
        <w:sectPr w:rsidR="00DA4F5E" w:rsidRPr="00F6206F" w:rsidSect="00BC2BC9">
          <w:headerReference w:type="default" r:id="rId13"/>
          <w:footerReference w:type="default" r:id="rId14"/>
          <w:pgSz w:w="15840" w:h="12240" w:orient="landscape"/>
          <w:pgMar w:top="432" w:right="432" w:bottom="432" w:left="432" w:header="720" w:footer="720" w:gutter="0"/>
          <w:cols w:space="720"/>
          <w:docGrid w:linePitch="360"/>
        </w:sectPr>
      </w:pPr>
      <w:r w:rsidRPr="00E95CFE">
        <w:rPr>
          <w:rFonts w:cstheme="minorHAnsi"/>
          <w:b/>
          <w:u w:val="single"/>
        </w:rPr>
        <w:t xml:space="preserve">Members </w:t>
      </w:r>
      <w:r w:rsidR="00E95CFE" w:rsidRPr="00E95CFE">
        <w:rPr>
          <w:rFonts w:cstheme="minorHAnsi"/>
          <w:b/>
          <w:u w:val="single"/>
        </w:rPr>
        <w:t>Absent</w:t>
      </w:r>
      <w:r w:rsidR="00E95CFE">
        <w:rPr>
          <w:rFonts w:cstheme="minorHAnsi"/>
          <w:b/>
        </w:rPr>
        <w:t>:</w:t>
      </w:r>
      <w:r w:rsidR="000B3F54">
        <w:rPr>
          <w:rFonts w:cstheme="minorHAnsi"/>
          <w:b/>
        </w:rPr>
        <w:t xml:space="preserve"> </w:t>
      </w:r>
      <w:r w:rsidR="00074DC5">
        <w:t xml:space="preserve">Dr. Ned Claxton, Fran Jensen, Dr. William </w:t>
      </w:r>
      <w:proofErr w:type="spellStart"/>
      <w:r w:rsidR="00074DC5">
        <w:t>Kassler</w:t>
      </w:r>
      <w:proofErr w:type="spellEnd"/>
      <w:r w:rsidR="00074DC5">
        <w:t xml:space="preserve">, Dr. Jamie Kuhn, Kevin Lewis, Lori Parham, Wanda </w:t>
      </w:r>
      <w:proofErr w:type="spellStart"/>
      <w:r w:rsidR="00074DC5">
        <w:t>Pelkey</w:t>
      </w:r>
      <w:proofErr w:type="spellEnd"/>
      <w:r w:rsidR="00074DC5">
        <w:t xml:space="preserve">, </w:t>
      </w:r>
      <w:proofErr w:type="spellStart"/>
      <w:r w:rsidR="00074DC5">
        <w:t>Judiann</w:t>
      </w:r>
      <w:proofErr w:type="spellEnd"/>
      <w:r w:rsidR="00074DC5">
        <w:t xml:space="preserve"> smith, Mark Still, </w:t>
      </w:r>
      <w:proofErr w:type="spellStart"/>
      <w:r w:rsidR="00074DC5">
        <w:t>Richelle</w:t>
      </w:r>
      <w:proofErr w:type="spellEnd"/>
      <w:r w:rsidR="00074DC5">
        <w:t xml:space="preserve"> Wallace, Ann </w:t>
      </w:r>
      <w:proofErr w:type="spellStart"/>
      <w:r w:rsidR="00074DC5">
        <w:t>Wolsdon</w:t>
      </w:r>
      <w:proofErr w:type="spellEnd"/>
      <w:r w:rsidR="00074DC5">
        <w:t xml:space="preserve">, Jay Yoe, Christine </w:t>
      </w:r>
      <w:proofErr w:type="spellStart"/>
      <w:r w:rsidR="00074DC5">
        <w:t>Zukas</w:t>
      </w:r>
      <w:proofErr w:type="spellEnd"/>
      <w:r w:rsidR="00074DC5">
        <w:t>.</w:t>
      </w: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DA4F5E" w:rsidRDefault="00A72713" w:rsidP="003B3A33">
      <w:pPr>
        <w:ind w:left="-990"/>
        <w:jc w:val="left"/>
      </w:pPr>
      <w:r w:rsidRPr="007B64B4">
        <w:rPr>
          <w:rFonts w:cs="Arial"/>
          <w:i/>
        </w:rPr>
        <w:lastRenderedPageBreak/>
        <w:t xml:space="preserve">Subcommittee </w:t>
      </w:r>
      <w:r w:rsidR="00AA1F9E" w:rsidRPr="007B64B4">
        <w:rPr>
          <w:rFonts w:cs="Arial"/>
          <w:i/>
        </w:rPr>
        <w:t>documents available at</w:t>
      </w:r>
      <w:r w:rsidR="00AA1F9E" w:rsidRPr="00E95CFE">
        <w:rPr>
          <w:rFonts w:cs="Arial"/>
          <w:b/>
        </w:rPr>
        <w:t xml:space="preserve">: </w:t>
      </w:r>
      <w:r w:rsidR="00FA28D7">
        <w:rPr>
          <w:rFonts w:cs="Arial"/>
          <w:b/>
        </w:rPr>
        <w:t xml:space="preserve"> </w:t>
      </w:r>
    </w:p>
    <w:p w:rsidR="002B6325" w:rsidRPr="00AA1F9E" w:rsidRDefault="002B6325" w:rsidP="00B55426">
      <w:pPr>
        <w:jc w:val="left"/>
        <w:rPr>
          <w:rFonts w:ascii="Arial" w:hAnsi="Arial" w:cs="Arial"/>
          <w:b/>
          <w:sz w:val="24"/>
          <w:szCs w:val="24"/>
        </w:rPr>
      </w:pPr>
    </w:p>
    <w:tbl>
      <w:tblPr>
        <w:tblStyle w:val="TableGrid"/>
        <w:tblW w:w="5318" w:type="pct"/>
        <w:tblInd w:w="-882" w:type="dxa"/>
        <w:tblLook w:val="04A0" w:firstRow="1" w:lastRow="0" w:firstColumn="1" w:lastColumn="0" w:noHBand="0" w:noVBand="1"/>
      </w:tblPr>
      <w:tblGrid>
        <w:gridCol w:w="2369"/>
        <w:gridCol w:w="1048"/>
        <w:gridCol w:w="9576"/>
        <w:gridCol w:w="1787"/>
      </w:tblGrid>
      <w:tr w:rsidR="00FA28D7" w:rsidRPr="002F4AEB" w:rsidTr="002F48DC">
        <w:tc>
          <w:tcPr>
            <w:tcW w:w="822" w:type="pct"/>
            <w:shd w:val="clear" w:color="auto" w:fill="E5B8B7" w:themeFill="accent2" w:themeFillTint="66"/>
          </w:tcPr>
          <w:p w:rsidR="00FA28D7" w:rsidRPr="002F4AEB" w:rsidRDefault="00FA28D7" w:rsidP="00B57A9B">
            <w:pPr>
              <w:jc w:val="left"/>
              <w:rPr>
                <w:rFonts w:cstheme="minorHAnsi"/>
                <w:b/>
              </w:rPr>
            </w:pPr>
            <w:r>
              <w:rPr>
                <w:rFonts w:cstheme="minorHAnsi"/>
                <w:b/>
              </w:rPr>
              <w:t>Agenda Item</w:t>
            </w:r>
            <w:r w:rsidR="00DF6EE8">
              <w:rPr>
                <w:rFonts w:cstheme="minorHAnsi"/>
                <w:b/>
              </w:rPr>
              <w:t xml:space="preserve">/Related SIM Objective </w:t>
            </w:r>
            <w:r w:rsidR="002F48DC">
              <w:rPr>
                <w:rFonts w:cstheme="minorHAnsi"/>
                <w:b/>
              </w:rPr>
              <w:t>(</w:t>
            </w:r>
            <w:r w:rsidR="00DF6EE8">
              <w:rPr>
                <w:rFonts w:cstheme="minorHAnsi"/>
                <w:b/>
              </w:rPr>
              <w:t>if applicable)</w:t>
            </w:r>
          </w:p>
        </w:tc>
        <w:tc>
          <w:tcPr>
            <w:tcW w:w="293" w:type="pct"/>
            <w:shd w:val="clear" w:color="auto" w:fill="E5B8B7" w:themeFill="accent2" w:themeFillTint="66"/>
          </w:tcPr>
          <w:p w:rsidR="00FA28D7" w:rsidRDefault="00FA28D7" w:rsidP="00B57A9B">
            <w:pPr>
              <w:jc w:val="left"/>
              <w:rPr>
                <w:rFonts w:cstheme="minorHAnsi"/>
                <w:b/>
              </w:rPr>
            </w:pPr>
            <w:r>
              <w:rPr>
                <w:rFonts w:cstheme="minorHAnsi"/>
                <w:b/>
              </w:rPr>
              <w:t>Obj. SST ID</w:t>
            </w:r>
          </w:p>
        </w:tc>
        <w:tc>
          <w:tcPr>
            <w:tcW w:w="3260" w:type="pct"/>
            <w:shd w:val="clear" w:color="auto" w:fill="E5B8B7" w:themeFill="accent2" w:themeFillTint="66"/>
          </w:tcPr>
          <w:p w:rsidR="00FA28D7" w:rsidRPr="002F4AEB" w:rsidRDefault="00FA28D7" w:rsidP="00B57A9B">
            <w:pPr>
              <w:jc w:val="left"/>
              <w:rPr>
                <w:rFonts w:cstheme="minorHAnsi"/>
                <w:b/>
              </w:rPr>
            </w:pPr>
            <w:r>
              <w:rPr>
                <w:rFonts w:cstheme="minorHAnsi"/>
                <w:b/>
              </w:rPr>
              <w:t>R</w:t>
            </w:r>
            <w:r w:rsidRPr="002F4AEB">
              <w:rPr>
                <w:rFonts w:cstheme="minorHAnsi"/>
                <w:b/>
              </w:rPr>
              <w:t>isk</w:t>
            </w:r>
            <w:r>
              <w:rPr>
                <w:rFonts w:cstheme="minorHAnsi"/>
                <w:b/>
              </w:rPr>
              <w:t>/concern discussed</w:t>
            </w:r>
          </w:p>
        </w:tc>
        <w:tc>
          <w:tcPr>
            <w:tcW w:w="625" w:type="pct"/>
            <w:shd w:val="clear" w:color="auto" w:fill="E5B8B7" w:themeFill="accent2" w:themeFillTint="66"/>
          </w:tcPr>
          <w:p w:rsidR="00FA28D7" w:rsidRPr="002F4AEB" w:rsidRDefault="00FA28D7" w:rsidP="00B57A9B">
            <w:pPr>
              <w:jc w:val="left"/>
              <w:rPr>
                <w:rFonts w:cstheme="minorHAnsi"/>
                <w:b/>
              </w:rPr>
            </w:pPr>
            <w:r w:rsidRPr="002F4AEB">
              <w:rPr>
                <w:rFonts w:cstheme="minorHAnsi"/>
                <w:b/>
              </w:rPr>
              <w:t>Escalation to Steering (y/n)</w:t>
            </w:r>
          </w:p>
        </w:tc>
      </w:tr>
      <w:tr w:rsidR="00FA28D7" w:rsidRPr="00990D1F" w:rsidTr="002F48DC">
        <w:tc>
          <w:tcPr>
            <w:tcW w:w="822" w:type="pct"/>
          </w:tcPr>
          <w:p w:rsidR="00FA28D7" w:rsidRDefault="00FA28D7" w:rsidP="00DF6EE8">
            <w:pPr>
              <w:pStyle w:val="Formal1"/>
              <w:rPr>
                <w:rFonts w:cstheme="minorHAnsi"/>
                <w:b/>
              </w:rPr>
            </w:pPr>
          </w:p>
        </w:tc>
        <w:tc>
          <w:tcPr>
            <w:tcW w:w="293" w:type="pct"/>
          </w:tcPr>
          <w:p w:rsidR="00FA28D7" w:rsidRPr="00FA28D7" w:rsidRDefault="00074DC5" w:rsidP="00FA28D7">
            <w:pPr>
              <w:ind w:left="360"/>
              <w:jc w:val="left"/>
              <w:rPr>
                <w:rFonts w:cstheme="minorHAnsi"/>
              </w:rPr>
            </w:pPr>
            <w:r>
              <w:rPr>
                <w:rFonts w:cstheme="minorHAnsi"/>
              </w:rPr>
              <w:t>3</w:t>
            </w:r>
          </w:p>
        </w:tc>
        <w:tc>
          <w:tcPr>
            <w:tcW w:w="3260" w:type="pct"/>
          </w:tcPr>
          <w:p w:rsidR="00074DC5" w:rsidRDefault="00074DC5" w:rsidP="00074DC5">
            <w:pPr>
              <w:pStyle w:val="NoSpacing"/>
              <w:jc w:val="both"/>
            </w:pPr>
            <w:r>
              <w:t xml:space="preserve">Ability to achieve adoption of core measure set alignment for payment and contracting purposes. Payers willing to adopt aligned core measure set for ACO contracting. </w:t>
            </w:r>
          </w:p>
          <w:p w:rsidR="00FA28D7" w:rsidRPr="00DF6EE8" w:rsidRDefault="00FA28D7" w:rsidP="00DF6EE8">
            <w:pPr>
              <w:ind w:left="360"/>
              <w:jc w:val="left"/>
              <w:rPr>
                <w:rFonts w:cstheme="minorHAnsi"/>
              </w:rPr>
            </w:pPr>
          </w:p>
        </w:tc>
        <w:tc>
          <w:tcPr>
            <w:tcW w:w="625" w:type="pct"/>
          </w:tcPr>
          <w:p w:rsidR="00FA28D7" w:rsidRPr="00990D1F" w:rsidRDefault="00FA28D7" w:rsidP="006A0577">
            <w:pPr>
              <w:jc w:val="left"/>
              <w:rPr>
                <w:rFonts w:cstheme="minorHAnsi"/>
              </w:rPr>
            </w:pPr>
            <w:r>
              <w:rPr>
                <w:rFonts w:cstheme="minorHAnsi"/>
              </w:rPr>
              <w:t>N</w:t>
            </w:r>
          </w:p>
        </w:tc>
      </w:tr>
      <w:tr w:rsidR="00FA28D7" w:rsidRPr="00990D1F" w:rsidTr="002F48DC">
        <w:tc>
          <w:tcPr>
            <w:tcW w:w="822" w:type="pct"/>
          </w:tcPr>
          <w:p w:rsidR="00FA28D7" w:rsidRPr="0063630E" w:rsidRDefault="00FA28D7" w:rsidP="00DF6EE8">
            <w:pPr>
              <w:pStyle w:val="Formal1"/>
              <w:rPr>
                <w:rFonts w:cstheme="minorHAnsi"/>
              </w:rPr>
            </w:pPr>
          </w:p>
        </w:tc>
        <w:tc>
          <w:tcPr>
            <w:tcW w:w="293" w:type="pct"/>
          </w:tcPr>
          <w:p w:rsidR="00FA28D7" w:rsidRPr="00FA28D7" w:rsidRDefault="00FA28D7" w:rsidP="00FA28D7">
            <w:pPr>
              <w:ind w:left="360"/>
              <w:jc w:val="left"/>
              <w:rPr>
                <w:rFonts w:cstheme="minorHAnsi"/>
              </w:rPr>
            </w:pPr>
          </w:p>
        </w:tc>
        <w:tc>
          <w:tcPr>
            <w:tcW w:w="3260" w:type="pct"/>
          </w:tcPr>
          <w:p w:rsidR="00FA28D7" w:rsidRPr="00DF6EE8" w:rsidRDefault="00FA28D7" w:rsidP="00DF6EE8">
            <w:pPr>
              <w:ind w:left="360"/>
              <w:jc w:val="left"/>
              <w:rPr>
                <w:rFonts w:cstheme="minorHAnsi"/>
              </w:rPr>
            </w:pPr>
          </w:p>
        </w:tc>
        <w:tc>
          <w:tcPr>
            <w:tcW w:w="625" w:type="pct"/>
          </w:tcPr>
          <w:p w:rsidR="00FA28D7" w:rsidRPr="00990D1F" w:rsidRDefault="00FA28D7" w:rsidP="00085AE7">
            <w:pPr>
              <w:jc w:val="left"/>
              <w:rPr>
                <w:rFonts w:cstheme="minorHAnsi"/>
              </w:rPr>
            </w:pPr>
            <w:r>
              <w:rPr>
                <w:rFonts w:cstheme="minorHAnsi"/>
              </w:rPr>
              <w:t>N</w:t>
            </w:r>
          </w:p>
        </w:tc>
      </w:tr>
      <w:tr w:rsidR="00FA28D7" w:rsidRPr="00990D1F" w:rsidTr="002F48DC">
        <w:trPr>
          <w:tblHeader/>
        </w:trPr>
        <w:tc>
          <w:tcPr>
            <w:tcW w:w="822" w:type="pct"/>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Agenda</w:t>
            </w:r>
            <w:r>
              <w:rPr>
                <w:rFonts w:cstheme="minorHAnsi"/>
                <w:b/>
                <w:color w:val="FFFFFF" w:themeColor="background1"/>
              </w:rPr>
              <w:t xml:space="preserve"> Item</w:t>
            </w:r>
          </w:p>
        </w:tc>
        <w:tc>
          <w:tcPr>
            <w:tcW w:w="293" w:type="pct"/>
            <w:shd w:val="clear" w:color="auto" w:fill="1F497D" w:themeFill="text2"/>
          </w:tcPr>
          <w:p w:rsidR="00FA28D7" w:rsidRPr="00990D1F" w:rsidRDefault="00FA28D7" w:rsidP="00B57A9B">
            <w:pPr>
              <w:jc w:val="left"/>
              <w:rPr>
                <w:rFonts w:cstheme="minorHAnsi"/>
                <w:b/>
                <w:color w:val="FFFFFF" w:themeColor="background1"/>
              </w:rPr>
            </w:pPr>
          </w:p>
        </w:tc>
        <w:tc>
          <w:tcPr>
            <w:tcW w:w="3885" w:type="pct"/>
            <w:gridSpan w:val="2"/>
            <w:shd w:val="clear" w:color="auto" w:fill="1F497D" w:themeFill="text2"/>
          </w:tcPr>
          <w:p w:rsidR="00FA28D7" w:rsidRPr="00990D1F" w:rsidRDefault="00FA28D7" w:rsidP="00B57A9B">
            <w:pPr>
              <w:jc w:val="left"/>
              <w:rPr>
                <w:rFonts w:cstheme="minorHAnsi"/>
                <w:b/>
                <w:color w:val="FFFFFF" w:themeColor="background1"/>
              </w:rPr>
            </w:pPr>
            <w:r w:rsidRPr="00990D1F">
              <w:rPr>
                <w:rFonts w:cstheme="minorHAnsi"/>
                <w:b/>
                <w:color w:val="FFFFFF" w:themeColor="background1"/>
              </w:rPr>
              <w:t>Discussion</w:t>
            </w:r>
            <w:r>
              <w:rPr>
                <w:rFonts w:cstheme="minorHAnsi"/>
                <w:b/>
                <w:color w:val="FFFFFF" w:themeColor="background1"/>
              </w:rPr>
              <w:t xml:space="preserve"> Points and </w:t>
            </w:r>
            <w:r w:rsidRPr="00990D1F">
              <w:rPr>
                <w:rFonts w:cstheme="minorHAnsi"/>
                <w:b/>
                <w:color w:val="FFFFFF" w:themeColor="background1"/>
              </w:rPr>
              <w:t>Decisions</w:t>
            </w:r>
          </w:p>
        </w:tc>
      </w:tr>
      <w:tr w:rsidR="00FA28D7" w:rsidRPr="00990D1F" w:rsidTr="002F48DC">
        <w:tc>
          <w:tcPr>
            <w:tcW w:w="822" w:type="pct"/>
          </w:tcPr>
          <w:p w:rsidR="00FA28D7" w:rsidRDefault="00074DC5" w:rsidP="00CF6EF2">
            <w:pPr>
              <w:jc w:val="left"/>
              <w:rPr>
                <w:rFonts w:cstheme="minorHAnsi"/>
                <w:b/>
              </w:rPr>
            </w:pPr>
            <w:r w:rsidRPr="00074DC5">
              <w:rPr>
                <w:b/>
              </w:rPr>
              <w:t>Report on Measure Alignment Work Group.</w:t>
            </w:r>
          </w:p>
        </w:tc>
        <w:tc>
          <w:tcPr>
            <w:tcW w:w="293" w:type="pct"/>
          </w:tcPr>
          <w:p w:rsidR="00FA28D7" w:rsidRDefault="00074DC5" w:rsidP="00074DC5">
            <w:pPr>
              <w:pStyle w:val="ListParagraph"/>
              <w:jc w:val="center"/>
              <w:rPr>
                <w:rFonts w:cstheme="minorHAnsi"/>
              </w:rPr>
            </w:pPr>
            <w:r>
              <w:rPr>
                <w:rFonts w:cstheme="minorHAnsi"/>
              </w:rPr>
              <w:t>3</w:t>
            </w:r>
          </w:p>
        </w:tc>
        <w:tc>
          <w:tcPr>
            <w:tcW w:w="3885" w:type="pct"/>
            <w:gridSpan w:val="2"/>
          </w:tcPr>
          <w:p w:rsidR="00FA28D7" w:rsidRPr="00B76C72" w:rsidRDefault="00074DC5" w:rsidP="00D33F31">
            <w:pPr>
              <w:pStyle w:val="ListParagraph"/>
              <w:jc w:val="left"/>
              <w:rPr>
                <w:rFonts w:cstheme="minorHAnsi"/>
              </w:rPr>
            </w:pPr>
            <w:r w:rsidRPr="00074DC5">
              <w:t xml:space="preserve"> Frank Johnson outlined the current work of the Measure Alignment Work Group to include: work group composition, project objectives, intent and purpose, work process, measure selection criteria, and progress to date. There was a request to define “core” measures to clarify the work group’s expectations.</w:t>
            </w:r>
          </w:p>
        </w:tc>
      </w:tr>
      <w:tr w:rsidR="00FA28D7" w:rsidRPr="00990D1F" w:rsidTr="002F48DC">
        <w:trPr>
          <w:trHeight w:val="1340"/>
        </w:trPr>
        <w:tc>
          <w:tcPr>
            <w:tcW w:w="822" w:type="pct"/>
          </w:tcPr>
          <w:p w:rsidR="00FA28D7" w:rsidRPr="003C1F65" w:rsidRDefault="00074DC5" w:rsidP="00DA3157">
            <w:pPr>
              <w:jc w:val="left"/>
              <w:rPr>
                <w:rFonts w:cstheme="minorHAnsi"/>
                <w:b/>
              </w:rPr>
            </w:pPr>
            <w:r w:rsidRPr="00074DC5">
              <w:rPr>
                <w:rFonts w:cstheme="minorHAnsi"/>
                <w:b/>
              </w:rPr>
              <w:lastRenderedPageBreak/>
              <w:t>Report of Healthcare Cost Work Group.</w:t>
            </w:r>
          </w:p>
        </w:tc>
        <w:tc>
          <w:tcPr>
            <w:tcW w:w="293" w:type="pct"/>
          </w:tcPr>
          <w:p w:rsidR="00FA28D7" w:rsidRDefault="00074DC5" w:rsidP="00D33F31">
            <w:pPr>
              <w:pStyle w:val="ListParagraph"/>
              <w:jc w:val="left"/>
              <w:rPr>
                <w:rFonts w:cstheme="minorHAnsi"/>
              </w:rPr>
            </w:pPr>
            <w:r>
              <w:rPr>
                <w:rFonts w:cstheme="minorHAnsi"/>
              </w:rPr>
              <w:t>1</w:t>
            </w:r>
          </w:p>
        </w:tc>
        <w:tc>
          <w:tcPr>
            <w:tcW w:w="3885" w:type="pct"/>
            <w:gridSpan w:val="2"/>
          </w:tcPr>
          <w:p w:rsidR="00FA28D7" w:rsidRPr="005103D7" w:rsidRDefault="00074DC5" w:rsidP="00D33F31">
            <w:pPr>
              <w:pStyle w:val="ListParagraph"/>
              <w:jc w:val="left"/>
              <w:rPr>
                <w:rFonts w:cstheme="minorHAnsi"/>
              </w:rPr>
            </w:pPr>
            <w:r>
              <w:t xml:space="preserve">Lisa Nolan briefed the Subcommittee on the first two meetings of the Cost of Care work group. The work group identified three areas to focus initial attention: pricing, delivery system infrastructure and consumer engagement/support. Lisa advised the Subcommittee that the pricing dialogue to date has encompassed transparency, reference pricing, narrow networks, and bundled payments. Discussions will resume with a review of global budget </w:t>
            </w:r>
            <w:proofErr w:type="spellStart"/>
            <w:r>
              <w:t>aith</w:t>
            </w:r>
            <w:proofErr w:type="spellEnd"/>
            <w:r>
              <w:t xml:space="preserve"> spending caps and rate setting before the conversation switches to infrastructure.</w:t>
            </w:r>
          </w:p>
        </w:tc>
      </w:tr>
      <w:tr w:rsidR="00FA28D7" w:rsidRPr="00990D1F" w:rsidTr="002F48DC">
        <w:trPr>
          <w:trHeight w:val="872"/>
        </w:trPr>
        <w:tc>
          <w:tcPr>
            <w:tcW w:w="822" w:type="pct"/>
          </w:tcPr>
          <w:p w:rsidR="00FA28D7" w:rsidRPr="00074DC5" w:rsidRDefault="00074DC5" w:rsidP="00D33F31">
            <w:pPr>
              <w:pStyle w:val="Formal1"/>
              <w:rPr>
                <w:rFonts w:asciiTheme="minorHAnsi" w:hAnsiTheme="minorHAnsi" w:cstheme="minorHAnsi"/>
                <w:b/>
              </w:rPr>
            </w:pPr>
            <w:r w:rsidRPr="00074DC5">
              <w:rPr>
                <w:rFonts w:asciiTheme="minorHAnsi" w:hAnsiTheme="minorHAnsi" w:cstheme="minorHAnsi"/>
                <w:b/>
              </w:rPr>
              <w:t>Inventory of current alternative payments.</w:t>
            </w:r>
          </w:p>
        </w:tc>
        <w:tc>
          <w:tcPr>
            <w:tcW w:w="293" w:type="pct"/>
          </w:tcPr>
          <w:p w:rsidR="00FA28D7" w:rsidRDefault="00074DC5" w:rsidP="00D33F31">
            <w:pPr>
              <w:pStyle w:val="ListParagraph"/>
              <w:jc w:val="left"/>
              <w:rPr>
                <w:rFonts w:cstheme="minorHAnsi"/>
              </w:rPr>
            </w:pPr>
            <w:r>
              <w:rPr>
                <w:rFonts w:cstheme="minorHAnsi"/>
              </w:rPr>
              <w:t>3</w:t>
            </w:r>
          </w:p>
        </w:tc>
        <w:tc>
          <w:tcPr>
            <w:tcW w:w="3885" w:type="pct"/>
            <w:gridSpan w:val="2"/>
          </w:tcPr>
          <w:p w:rsidR="00FA28D7" w:rsidRPr="005103D7" w:rsidRDefault="00074DC5" w:rsidP="00B27EF0">
            <w:pPr>
              <w:pStyle w:val="ListParagraph"/>
              <w:jc w:val="left"/>
              <w:rPr>
                <w:rFonts w:cstheme="minorHAnsi"/>
              </w:rPr>
            </w:pPr>
            <w:r w:rsidRPr="00074DC5">
              <w:rPr>
                <w:rFonts w:cstheme="minorHAnsi"/>
              </w:rPr>
              <w:t xml:space="preserve">Frank noted that the commercial plans and </w:t>
            </w:r>
            <w:proofErr w:type="spellStart"/>
            <w:r w:rsidRPr="00074DC5">
              <w:rPr>
                <w:rFonts w:cstheme="minorHAnsi"/>
              </w:rPr>
              <w:t>MaineCare</w:t>
            </w:r>
            <w:proofErr w:type="spellEnd"/>
            <w:r w:rsidRPr="00074DC5">
              <w:rPr>
                <w:rFonts w:cstheme="minorHAnsi"/>
              </w:rPr>
              <w:t xml:space="preserve"> will be asked to complete and abbreviated CPR (Catalyst for Payment Reform) survey tool to determine the level, scope and parameters in order to benchmark current alternative payments and to monitor progress.</w:t>
            </w:r>
          </w:p>
        </w:tc>
      </w:tr>
      <w:tr w:rsidR="00FA28D7" w:rsidRPr="00990D1F" w:rsidTr="002F48DC">
        <w:tc>
          <w:tcPr>
            <w:tcW w:w="822" w:type="pct"/>
          </w:tcPr>
          <w:p w:rsidR="00FA28D7" w:rsidRPr="005F4D9C" w:rsidRDefault="00074DC5" w:rsidP="00074DC5">
            <w:pPr>
              <w:pStyle w:val="Formal1"/>
              <w:rPr>
                <w:rFonts w:asciiTheme="minorHAnsi" w:hAnsiTheme="minorHAnsi" w:cstheme="minorHAnsi"/>
                <w:b/>
                <w:bCs/>
                <w:sz w:val="22"/>
                <w:szCs w:val="22"/>
              </w:rPr>
            </w:pPr>
            <w:r w:rsidRPr="00074DC5">
              <w:rPr>
                <w:rFonts w:asciiTheme="minorHAnsi" w:hAnsiTheme="minorHAnsi" w:cstheme="minorHAnsi"/>
                <w:b/>
                <w:bCs/>
                <w:sz w:val="22"/>
                <w:szCs w:val="22"/>
              </w:rPr>
              <w:t>Risk Identification</w:t>
            </w:r>
          </w:p>
        </w:tc>
        <w:tc>
          <w:tcPr>
            <w:tcW w:w="293" w:type="pct"/>
          </w:tcPr>
          <w:p w:rsidR="00FA28D7" w:rsidRDefault="00630F9B" w:rsidP="00570E9A">
            <w:pPr>
              <w:pStyle w:val="ListParagraph"/>
              <w:jc w:val="left"/>
              <w:rPr>
                <w:rFonts w:cstheme="minorHAnsi"/>
              </w:rPr>
            </w:pPr>
            <w:r>
              <w:rPr>
                <w:rFonts w:cstheme="minorHAnsi"/>
              </w:rPr>
              <w:t>3</w:t>
            </w:r>
          </w:p>
        </w:tc>
        <w:tc>
          <w:tcPr>
            <w:tcW w:w="3885" w:type="pct"/>
            <w:gridSpan w:val="2"/>
          </w:tcPr>
          <w:p w:rsidR="00FA28D7" w:rsidRPr="00251854" w:rsidRDefault="00FA28D7" w:rsidP="00D33F31">
            <w:pPr>
              <w:pStyle w:val="ListParagraph"/>
              <w:jc w:val="left"/>
              <w:rPr>
                <w:rFonts w:cstheme="minorHAnsi"/>
              </w:rPr>
            </w:pPr>
            <w:r>
              <w:rPr>
                <w:rFonts w:cstheme="minorHAnsi"/>
              </w:rPr>
              <w:t xml:space="preserve"> </w:t>
            </w:r>
            <w:r w:rsidR="00074DC5" w:rsidRPr="00074DC5">
              <w:rPr>
                <w:rFonts w:cstheme="minorHAnsi"/>
              </w:rPr>
              <w:t xml:space="preserve">As noted above the issue of the Measure Alignment Work Group’s ability to </w:t>
            </w:r>
            <w:r w:rsidR="00630F9B" w:rsidRPr="00074DC5">
              <w:rPr>
                <w:rFonts w:cstheme="minorHAnsi"/>
              </w:rPr>
              <w:t>achieve</w:t>
            </w:r>
            <w:r w:rsidR="00074DC5" w:rsidRPr="00074DC5">
              <w:rPr>
                <w:rFonts w:cstheme="minorHAnsi"/>
              </w:rPr>
              <w:t xml:space="preserve"> adoption of core measure set alignment for payment and contracting purposes was presented as an issue. The Subcommittee discussed the weighting of this risk and identified the Probability and Medium (2) and the Impact as High (3). A revision to the risk statement was requested in order to clarify the issue. It was agreed that the risk issue should reside with the Subcommittee as mitigation strategies are pursued.     </w:t>
            </w:r>
          </w:p>
        </w:tc>
      </w:tr>
      <w:tr w:rsidR="00FA28D7" w:rsidRPr="00990D1F" w:rsidTr="002F48DC">
        <w:tc>
          <w:tcPr>
            <w:tcW w:w="822" w:type="pct"/>
          </w:tcPr>
          <w:p w:rsidR="00FA28D7" w:rsidRPr="00630F9B" w:rsidRDefault="00630F9B" w:rsidP="00630F9B">
            <w:pPr>
              <w:pStyle w:val="Formal1"/>
              <w:spacing w:after="0"/>
              <w:rPr>
                <w:rFonts w:asciiTheme="minorHAnsi" w:hAnsiTheme="minorHAnsi" w:cstheme="minorHAnsi"/>
                <w:b/>
              </w:rPr>
            </w:pPr>
            <w:r w:rsidRPr="00630F9B">
              <w:rPr>
                <w:rFonts w:asciiTheme="minorHAnsi" w:hAnsiTheme="minorHAnsi" w:cstheme="minorHAnsi"/>
                <w:b/>
              </w:rPr>
              <w:t>SIM updates</w:t>
            </w:r>
          </w:p>
        </w:tc>
        <w:tc>
          <w:tcPr>
            <w:tcW w:w="293" w:type="pct"/>
          </w:tcPr>
          <w:p w:rsidR="00FA28D7" w:rsidRDefault="00630F9B" w:rsidP="00570E9A">
            <w:pPr>
              <w:pStyle w:val="ListParagraph"/>
              <w:jc w:val="left"/>
              <w:rPr>
                <w:rFonts w:cstheme="minorHAnsi"/>
              </w:rPr>
            </w:pPr>
            <w:r>
              <w:rPr>
                <w:rFonts w:cstheme="minorHAnsi"/>
              </w:rPr>
              <w:t>7</w:t>
            </w:r>
          </w:p>
        </w:tc>
        <w:tc>
          <w:tcPr>
            <w:tcW w:w="3885" w:type="pct"/>
            <w:gridSpan w:val="2"/>
          </w:tcPr>
          <w:p w:rsidR="00FA28D7" w:rsidRPr="00DF0426" w:rsidRDefault="00FA28D7" w:rsidP="00D33F31">
            <w:pPr>
              <w:pStyle w:val="ListParagraph"/>
              <w:jc w:val="left"/>
              <w:rPr>
                <w:rFonts w:cstheme="minorHAnsi"/>
              </w:rPr>
            </w:pPr>
            <w:r>
              <w:rPr>
                <w:rFonts w:cstheme="minorHAnsi"/>
              </w:rPr>
              <w:t xml:space="preserve"> </w:t>
            </w:r>
            <w:r w:rsidR="00630F9B" w:rsidRPr="00630F9B">
              <w:rPr>
                <w:rFonts w:cstheme="minorHAnsi"/>
              </w:rPr>
              <w:t>Frank briefed the Subcommittee on the CMMI site visit of May 28th. It was noted that CMMI officials were asked if there was a viable prospect of extending the MAPCP initiative. CMMI asked if the commercial payers would continue to support the multi-payer project. Frank reported that four of the five commercial plans have been contacted an each has expressed a willingness to support primary care practices either through continued PMPM care coordination payments or ACO contracts.</w:t>
            </w:r>
            <w:r w:rsidR="00630F9B">
              <w:t xml:space="preserve"> </w:t>
            </w:r>
            <w:r w:rsidR="00630F9B" w:rsidRPr="00630F9B">
              <w:rPr>
                <w:rFonts w:cstheme="minorHAnsi"/>
              </w:rPr>
              <w:t>Frank briefly reviewed the upcoming deliverables that will be presented to the Subcommittee in the next several months.</w:t>
            </w:r>
          </w:p>
        </w:tc>
      </w:tr>
      <w:tr w:rsidR="00FA28D7" w:rsidRPr="00990D1F" w:rsidTr="002F48DC">
        <w:tc>
          <w:tcPr>
            <w:tcW w:w="822" w:type="pct"/>
          </w:tcPr>
          <w:p w:rsidR="00FA28D7" w:rsidRPr="005F4D9C" w:rsidRDefault="00FA28D7" w:rsidP="00D814BE">
            <w:pPr>
              <w:pStyle w:val="Formal1"/>
              <w:rPr>
                <w:rFonts w:asciiTheme="minorHAnsi" w:hAnsiTheme="minorHAnsi" w:cstheme="minorHAnsi"/>
                <w:b/>
                <w:bCs/>
                <w:sz w:val="22"/>
                <w:szCs w:val="22"/>
              </w:rPr>
            </w:pPr>
            <w:r w:rsidRPr="005F4D9C">
              <w:rPr>
                <w:rFonts w:asciiTheme="minorHAnsi" w:hAnsiTheme="minorHAnsi" w:cstheme="minorHAnsi"/>
                <w:b/>
                <w:bCs/>
                <w:sz w:val="22"/>
                <w:szCs w:val="22"/>
              </w:rPr>
              <w:t>Public Comment</w:t>
            </w:r>
          </w:p>
        </w:tc>
        <w:tc>
          <w:tcPr>
            <w:tcW w:w="293" w:type="pct"/>
          </w:tcPr>
          <w:p w:rsidR="00FA28D7" w:rsidRDefault="00FA28D7" w:rsidP="00570E9A">
            <w:pPr>
              <w:pStyle w:val="ListParagraph"/>
              <w:jc w:val="left"/>
              <w:rPr>
                <w:rFonts w:cstheme="minorHAnsi"/>
              </w:rPr>
            </w:pPr>
          </w:p>
        </w:tc>
        <w:tc>
          <w:tcPr>
            <w:tcW w:w="3885" w:type="pct"/>
            <w:gridSpan w:val="2"/>
          </w:tcPr>
          <w:p w:rsidR="00FA28D7" w:rsidRPr="00D33F31" w:rsidRDefault="00FA28D7" w:rsidP="00D33F31">
            <w:pPr>
              <w:ind w:left="612" w:hanging="252"/>
              <w:jc w:val="left"/>
              <w:rPr>
                <w:rFonts w:cstheme="minorHAnsi"/>
              </w:rPr>
            </w:pPr>
          </w:p>
        </w:tc>
      </w:tr>
    </w:tbl>
    <w:p w:rsidR="004D53AB" w:rsidRDefault="004D53AB" w:rsidP="004D53AB">
      <w:pPr>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C043AA" w:rsidRDefault="00C043AA" w:rsidP="00433EB8">
      <w:pPr>
        <w:ind w:left="-900"/>
        <w:jc w:val="left"/>
        <w:rPr>
          <w:rFonts w:ascii="Arial" w:hAnsi="Arial" w:cs="Arial"/>
          <w:b/>
          <w:sz w:val="24"/>
          <w:szCs w:val="24"/>
          <w:lang w:val="en-AU"/>
        </w:rPr>
      </w:pPr>
    </w:p>
    <w:p w:rsidR="008A07E3" w:rsidRPr="004D53AB" w:rsidRDefault="008A07E3" w:rsidP="00433EB8">
      <w:pPr>
        <w:ind w:left="-900"/>
        <w:jc w:val="left"/>
        <w:rPr>
          <w:rFonts w:ascii="Arial" w:hAnsi="Arial" w:cs="Arial"/>
          <w:sz w:val="24"/>
          <w:szCs w:val="24"/>
          <w:lang w:val="en-AU"/>
        </w:rPr>
      </w:pPr>
      <w:r>
        <w:rPr>
          <w:rFonts w:ascii="Arial" w:hAnsi="Arial" w:cs="Arial"/>
          <w:b/>
          <w:sz w:val="24"/>
          <w:szCs w:val="24"/>
          <w:lang w:val="en-AU"/>
        </w:rPr>
        <w:t>New</w:t>
      </w:r>
      <w:r w:rsidRPr="004D53AB">
        <w:rPr>
          <w:rFonts w:ascii="Arial" w:hAnsi="Arial" w:cs="Arial"/>
          <w:b/>
          <w:sz w:val="24"/>
          <w:szCs w:val="24"/>
          <w:lang w:val="en-AU"/>
        </w:rPr>
        <w:t xml:space="preserve"> Actions</w:t>
      </w:r>
    </w:p>
    <w:tbl>
      <w:tblPr>
        <w:tblW w:w="14198" w:type="dxa"/>
        <w:tblInd w:w="-7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60"/>
        <w:gridCol w:w="9238"/>
        <w:gridCol w:w="1322"/>
        <w:gridCol w:w="1080"/>
        <w:gridCol w:w="698"/>
      </w:tblGrid>
      <w:tr w:rsidR="008A07E3" w:rsidRPr="008A07E3" w:rsidTr="00F958B7">
        <w:trPr>
          <w:cantSplit/>
          <w:trHeight w:val="547"/>
        </w:trPr>
        <w:tc>
          <w:tcPr>
            <w:tcW w:w="186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F93103" w:rsidP="00F93103">
            <w:pPr>
              <w:jc w:val="left"/>
              <w:rPr>
                <w:rFonts w:cstheme="minorHAnsi"/>
                <w:b/>
                <w:color w:val="FFFFFF" w:themeColor="background1"/>
              </w:rPr>
            </w:pPr>
            <w:r>
              <w:rPr>
                <w:rFonts w:cstheme="minorHAnsi"/>
                <w:b/>
                <w:color w:val="FFFFFF" w:themeColor="background1"/>
              </w:rPr>
              <w:t>Agenda Item</w:t>
            </w:r>
          </w:p>
        </w:tc>
        <w:tc>
          <w:tcPr>
            <w:tcW w:w="923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Who</w:t>
            </w:r>
          </w:p>
        </w:tc>
        <w:tc>
          <w:tcPr>
            <w:tcW w:w="698" w:type="dxa"/>
            <w:tcBorders>
              <w:top w:val="single" w:sz="4" w:space="0" w:color="C0C0C0"/>
              <w:left w:val="single" w:sz="4" w:space="0" w:color="C0C0C0"/>
              <w:bottom w:val="single" w:sz="4" w:space="0" w:color="C0C0C0"/>
              <w:right w:val="single" w:sz="4" w:space="0" w:color="C0C0C0"/>
            </w:tcBorders>
            <w:shd w:val="clear" w:color="auto" w:fill="9BBB59" w:themeFill="accent3"/>
            <w:hideMark/>
          </w:tcPr>
          <w:p w:rsidR="008A07E3" w:rsidRPr="008A07E3" w:rsidRDefault="008A07E3" w:rsidP="0022432C">
            <w:pPr>
              <w:jc w:val="left"/>
              <w:rPr>
                <w:rFonts w:cstheme="minorHAnsi"/>
                <w:b/>
                <w:color w:val="FFFFFF" w:themeColor="background1"/>
              </w:rPr>
            </w:pPr>
            <w:r w:rsidRPr="008A07E3">
              <w:rPr>
                <w:rFonts w:cstheme="minorHAnsi"/>
                <w:b/>
                <w:color w:val="FFFFFF" w:themeColor="background1"/>
              </w:rPr>
              <w:t>Due By</w:t>
            </w: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214A97" w:rsidRPr="006554C1" w:rsidRDefault="00630F9B" w:rsidP="0022432C">
            <w:pPr>
              <w:jc w:val="left"/>
              <w:rPr>
                <w:rFonts w:cs="Arial"/>
                <w:b/>
                <w:lang w:val="en-AU"/>
              </w:rPr>
            </w:pPr>
            <w:r>
              <w:rPr>
                <w:rFonts w:cs="Arial"/>
                <w:b/>
                <w:lang w:val="en-AU"/>
              </w:rPr>
              <w:t>NA</w:t>
            </w: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630F9B" w:rsidP="0022432C">
            <w:pPr>
              <w:jc w:val="left"/>
              <w:rPr>
                <w:rFonts w:cs="Arial"/>
                <w:lang w:val="en-AU"/>
              </w:rPr>
            </w:pPr>
            <w:r>
              <w:rPr>
                <w:rFonts w:cs="Arial"/>
                <w:lang w:val="en-AU"/>
              </w:rPr>
              <w:t>NA</w:t>
            </w: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Default="008A07E3" w:rsidP="0022432C">
            <w:pPr>
              <w:jc w:val="left"/>
              <w:rPr>
                <w:rFonts w:cs="Arial"/>
                <w:sz w:val="24"/>
                <w:szCs w:val="24"/>
                <w:lang w:val="en-AU"/>
              </w:rPr>
            </w:pPr>
          </w:p>
          <w:p w:rsidR="00F958B7" w:rsidRPr="006554C1" w:rsidRDefault="00F958B7" w:rsidP="0022432C">
            <w:pPr>
              <w:jc w:val="left"/>
              <w:rPr>
                <w:rFonts w:cs="Arial"/>
                <w:sz w:val="24"/>
                <w:szCs w:val="24"/>
                <w:lang w:val="en-AU"/>
              </w:rPr>
            </w:pPr>
          </w:p>
        </w:tc>
      </w:tr>
      <w:tr w:rsidR="008A07E3" w:rsidRPr="004D53AB" w:rsidTr="00F958B7">
        <w:trPr>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8A07E3" w:rsidRPr="006554C1" w:rsidRDefault="008A07E3" w:rsidP="0022432C">
            <w:pPr>
              <w:jc w:val="left"/>
              <w:rPr>
                <w:rFonts w:cs="Arial"/>
                <w:sz w:val="24"/>
                <w:szCs w:val="24"/>
                <w:lang w:val="en-AU"/>
              </w:rPr>
            </w:pPr>
          </w:p>
        </w:tc>
        <w:tc>
          <w:tcPr>
            <w:tcW w:w="9238" w:type="dxa"/>
            <w:tcBorders>
              <w:top w:val="single" w:sz="4" w:space="0" w:color="C0C0C0"/>
              <w:left w:val="single" w:sz="4" w:space="0" w:color="C0C0C0"/>
              <w:bottom w:val="single" w:sz="4" w:space="0" w:color="C0C0C0"/>
              <w:right w:val="single" w:sz="4" w:space="0" w:color="C0C0C0"/>
            </w:tcBorders>
          </w:tcPr>
          <w:p w:rsidR="008A07E3" w:rsidRPr="006554C1" w:rsidRDefault="008A07E3" w:rsidP="00F93103">
            <w:pPr>
              <w:jc w:val="left"/>
              <w:rPr>
                <w:rFonts w:cs="Arial"/>
                <w:sz w:val="24"/>
                <w:szCs w:val="24"/>
                <w:lang w:val="en-AU"/>
              </w:rPr>
            </w:pPr>
          </w:p>
        </w:tc>
        <w:tc>
          <w:tcPr>
            <w:tcW w:w="1322"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c>
          <w:tcPr>
            <w:tcW w:w="1080" w:type="dxa"/>
            <w:tcBorders>
              <w:top w:val="single" w:sz="4" w:space="0" w:color="C0C0C0"/>
              <w:left w:val="single" w:sz="4" w:space="0" w:color="C0C0C0"/>
              <w:bottom w:val="single" w:sz="4" w:space="0" w:color="C0C0C0"/>
              <w:right w:val="single" w:sz="4" w:space="0" w:color="C0C0C0"/>
            </w:tcBorders>
          </w:tcPr>
          <w:p w:rsidR="00F958B7" w:rsidRPr="006554C1" w:rsidRDefault="00F958B7" w:rsidP="0022432C">
            <w:pPr>
              <w:jc w:val="left"/>
              <w:rPr>
                <w:rFonts w:cs="Arial"/>
                <w:sz w:val="24"/>
                <w:szCs w:val="24"/>
                <w:lang w:val="en-AU"/>
              </w:rPr>
            </w:pPr>
          </w:p>
        </w:tc>
        <w:tc>
          <w:tcPr>
            <w:tcW w:w="698" w:type="dxa"/>
            <w:tcBorders>
              <w:top w:val="single" w:sz="4" w:space="0" w:color="C0C0C0"/>
              <w:left w:val="single" w:sz="4" w:space="0" w:color="C0C0C0"/>
              <w:bottom w:val="single" w:sz="4" w:space="0" w:color="C0C0C0"/>
              <w:right w:val="single" w:sz="4" w:space="0" w:color="C0C0C0"/>
            </w:tcBorders>
          </w:tcPr>
          <w:p w:rsidR="008A07E3" w:rsidRPr="006554C1" w:rsidRDefault="008A07E3" w:rsidP="0022432C">
            <w:pPr>
              <w:jc w:val="left"/>
              <w:rPr>
                <w:rFonts w:cs="Arial"/>
                <w:sz w:val="24"/>
                <w:szCs w:val="24"/>
                <w:lang w:val="en-AU"/>
              </w:rPr>
            </w:pPr>
          </w:p>
        </w:tc>
      </w:tr>
    </w:tbl>
    <w:p w:rsidR="00433EB8" w:rsidRDefault="00433EB8" w:rsidP="00433EB8">
      <w:pPr>
        <w:ind w:left="-900"/>
        <w:jc w:val="left"/>
        <w:rPr>
          <w:rFonts w:ascii="Arial" w:hAnsi="Arial" w:cs="Arial"/>
          <w:b/>
          <w:sz w:val="24"/>
          <w:szCs w:val="24"/>
          <w:lang w:val="en-AU"/>
        </w:rPr>
      </w:pPr>
    </w:p>
    <w:p w:rsidR="004D53AB" w:rsidRPr="004D53AB" w:rsidRDefault="004D53AB" w:rsidP="00433EB8">
      <w:pPr>
        <w:ind w:left="-900"/>
        <w:jc w:val="left"/>
        <w:rPr>
          <w:rFonts w:ascii="Arial" w:hAnsi="Arial" w:cs="Arial"/>
          <w:sz w:val="24"/>
          <w:szCs w:val="24"/>
          <w:lang w:val="en-AU"/>
        </w:rPr>
      </w:pPr>
      <w:r w:rsidRPr="004D53AB">
        <w:rPr>
          <w:rFonts w:ascii="Arial" w:hAnsi="Arial" w:cs="Arial"/>
          <w:b/>
          <w:sz w:val="24"/>
          <w:szCs w:val="24"/>
          <w:lang w:val="en-AU"/>
        </w:rPr>
        <w:t>Outstanding Actions</w:t>
      </w:r>
    </w:p>
    <w:tbl>
      <w:tblPr>
        <w:tblW w:w="1423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
        <w:gridCol w:w="1860"/>
        <w:gridCol w:w="9238"/>
        <w:gridCol w:w="1322"/>
        <w:gridCol w:w="1080"/>
        <w:gridCol w:w="720"/>
      </w:tblGrid>
      <w:tr w:rsidR="004D53AB" w:rsidRPr="008A07E3" w:rsidTr="00570E9A">
        <w:trPr>
          <w:cantSplit/>
          <w:trHeight w:val="547"/>
        </w:trPr>
        <w:tc>
          <w:tcPr>
            <w:tcW w:w="1878" w:type="dxa"/>
            <w:gridSpan w:val="2"/>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Ref</w:t>
            </w:r>
            <w:r w:rsidR="008A07E3">
              <w:rPr>
                <w:rFonts w:cstheme="minorHAnsi"/>
                <w:b/>
                <w:color w:val="FFFFFF" w:themeColor="background1"/>
              </w:rPr>
              <w:t>erence</w:t>
            </w:r>
          </w:p>
        </w:tc>
        <w:tc>
          <w:tcPr>
            <w:tcW w:w="9238"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Action Items</w:t>
            </w:r>
          </w:p>
        </w:tc>
        <w:tc>
          <w:tcPr>
            <w:tcW w:w="1322"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Status</w:t>
            </w:r>
          </w:p>
        </w:tc>
        <w:tc>
          <w:tcPr>
            <w:tcW w:w="108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Who</w:t>
            </w:r>
          </w:p>
        </w:tc>
        <w:tc>
          <w:tcPr>
            <w:tcW w:w="720" w:type="dxa"/>
            <w:tcBorders>
              <w:top w:val="single" w:sz="4" w:space="0" w:color="C0C0C0"/>
              <w:left w:val="single" w:sz="4" w:space="0" w:color="C0C0C0"/>
              <w:bottom w:val="single" w:sz="4" w:space="0" w:color="C0C0C0"/>
              <w:right w:val="single" w:sz="4" w:space="0" w:color="C0C0C0"/>
            </w:tcBorders>
            <w:shd w:val="clear" w:color="auto" w:fill="E36C0A" w:themeFill="accent6" w:themeFillShade="BF"/>
            <w:hideMark/>
          </w:tcPr>
          <w:p w:rsidR="004D53AB" w:rsidRPr="008A07E3" w:rsidRDefault="004D53AB" w:rsidP="004D53AB">
            <w:pPr>
              <w:jc w:val="left"/>
              <w:rPr>
                <w:rFonts w:cstheme="minorHAnsi"/>
                <w:b/>
                <w:color w:val="FFFFFF" w:themeColor="background1"/>
              </w:rPr>
            </w:pPr>
            <w:r w:rsidRPr="008A07E3">
              <w:rPr>
                <w:rFonts w:cstheme="minorHAnsi"/>
                <w:b/>
                <w:color w:val="FFFFFF" w:themeColor="background1"/>
              </w:rPr>
              <w:t>Due By</w:t>
            </w:r>
          </w:p>
        </w:tc>
      </w:tr>
      <w:tr w:rsidR="00DA3157" w:rsidRPr="004D53AB" w:rsidTr="00570E9A">
        <w:trPr>
          <w:gridBefore w:val="1"/>
          <w:wBefore w:w="18" w:type="dxa"/>
          <w:cantSplit/>
          <w:trHeight w:val="266"/>
        </w:trPr>
        <w:tc>
          <w:tcPr>
            <w:tcW w:w="1860" w:type="dxa"/>
            <w:tcBorders>
              <w:top w:val="single" w:sz="4" w:space="0" w:color="C0C0C0"/>
              <w:left w:val="single" w:sz="4" w:space="0" w:color="C0C0C0"/>
              <w:bottom w:val="single" w:sz="4" w:space="0" w:color="C0C0C0"/>
              <w:right w:val="single" w:sz="4" w:space="0" w:color="C0C0C0"/>
            </w:tcBorders>
            <w:vAlign w:val="center"/>
          </w:tcPr>
          <w:p w:rsidR="00DA3157" w:rsidRPr="006554C1" w:rsidRDefault="00630F9B" w:rsidP="00085AE7">
            <w:pPr>
              <w:jc w:val="left"/>
              <w:rPr>
                <w:rFonts w:cs="Arial"/>
                <w:b/>
                <w:lang w:val="en-AU"/>
              </w:rPr>
            </w:pPr>
            <w:r>
              <w:rPr>
                <w:rFonts w:cs="Arial"/>
                <w:b/>
                <w:lang w:val="en-AU"/>
              </w:rPr>
              <w:t>NA</w:t>
            </w:r>
          </w:p>
        </w:tc>
        <w:tc>
          <w:tcPr>
            <w:tcW w:w="9238" w:type="dxa"/>
            <w:tcBorders>
              <w:top w:val="single" w:sz="4" w:space="0" w:color="C0C0C0"/>
              <w:left w:val="single" w:sz="4" w:space="0" w:color="C0C0C0"/>
              <w:bottom w:val="single" w:sz="4" w:space="0" w:color="C0C0C0"/>
              <w:right w:val="single" w:sz="4" w:space="0" w:color="C0C0C0"/>
            </w:tcBorders>
          </w:tcPr>
          <w:p w:rsidR="00DA3157" w:rsidRPr="006554C1" w:rsidRDefault="00630F9B" w:rsidP="00085AE7">
            <w:pPr>
              <w:jc w:val="left"/>
              <w:rPr>
                <w:rFonts w:cs="Arial"/>
                <w:lang w:val="en-AU"/>
              </w:rPr>
            </w:pPr>
            <w:r>
              <w:rPr>
                <w:rFonts w:cs="Arial"/>
                <w:lang w:val="en-AU"/>
              </w:rPr>
              <w:t>NA</w:t>
            </w:r>
          </w:p>
        </w:tc>
        <w:tc>
          <w:tcPr>
            <w:tcW w:w="1322"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108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lang w:val="en-AU"/>
              </w:rPr>
            </w:pPr>
          </w:p>
        </w:tc>
        <w:tc>
          <w:tcPr>
            <w:tcW w:w="720" w:type="dxa"/>
            <w:tcBorders>
              <w:top w:val="single" w:sz="4" w:space="0" w:color="C0C0C0"/>
              <w:left w:val="single" w:sz="4" w:space="0" w:color="C0C0C0"/>
              <w:bottom w:val="single" w:sz="4" w:space="0" w:color="C0C0C0"/>
              <w:right w:val="single" w:sz="4" w:space="0" w:color="C0C0C0"/>
            </w:tcBorders>
          </w:tcPr>
          <w:p w:rsidR="00DA3157" w:rsidRPr="006554C1" w:rsidRDefault="00DA3157" w:rsidP="00085AE7">
            <w:pPr>
              <w:jc w:val="left"/>
              <w:rPr>
                <w:rFonts w:cs="Arial"/>
                <w:sz w:val="24"/>
                <w:szCs w:val="24"/>
                <w:lang w:val="en-AU"/>
              </w:rPr>
            </w:pPr>
          </w:p>
        </w:tc>
      </w:tr>
    </w:tbl>
    <w:p w:rsidR="008A07E3" w:rsidRPr="00F470EF" w:rsidRDefault="008A07E3" w:rsidP="00433EB8">
      <w:pPr>
        <w:jc w:val="left"/>
        <w:rPr>
          <w:rFonts w:ascii="Arial" w:hAnsi="Arial" w:cs="Arial"/>
          <w:sz w:val="24"/>
          <w:szCs w:val="24"/>
        </w:rPr>
      </w:pPr>
    </w:p>
    <w:sectPr w:rsidR="008A07E3"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6CF" w:rsidRDefault="004F16CF" w:rsidP="005261E9">
      <w:r>
        <w:separator/>
      </w:r>
    </w:p>
  </w:endnote>
  <w:endnote w:type="continuationSeparator" w:id="0">
    <w:p w:rsidR="004F16CF" w:rsidRDefault="004F16CF"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268" w:rsidRPr="005261E9" w:rsidRDefault="00772268"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6B5D0F">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6B5D0F">
      <w:rPr>
        <w:noProof/>
        <w:color w:val="808080" w:themeColor="background1" w:themeShade="80"/>
        <w:sz w:val="20"/>
        <w:szCs w:val="20"/>
      </w:rPr>
      <w:t>2</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6CF" w:rsidRDefault="004F16CF" w:rsidP="005261E9">
      <w:r>
        <w:separator/>
      </w:r>
    </w:p>
  </w:footnote>
  <w:footnote w:type="continuationSeparator" w:id="0">
    <w:p w:rsidR="004F16CF" w:rsidRDefault="004F16CF"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970350"/>
      <w:docPartObj>
        <w:docPartGallery w:val="Watermarks"/>
        <w:docPartUnique/>
      </w:docPartObj>
    </w:sdtPr>
    <w:sdtEndPr/>
    <w:sdtContent>
      <w:p w:rsidR="00772268" w:rsidRDefault="004F16C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024A"/>
    <w:multiLevelType w:val="hybridMultilevel"/>
    <w:tmpl w:val="BB426780"/>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F93"/>
    <w:multiLevelType w:val="hybridMultilevel"/>
    <w:tmpl w:val="3D4CE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258C5"/>
    <w:multiLevelType w:val="hybridMultilevel"/>
    <w:tmpl w:val="EF763156"/>
    <w:lvl w:ilvl="0" w:tplc="E42AC7A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3C22693"/>
    <w:multiLevelType w:val="hybridMultilevel"/>
    <w:tmpl w:val="11C03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E36722"/>
    <w:multiLevelType w:val="hybridMultilevel"/>
    <w:tmpl w:val="35BC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C469C4"/>
    <w:multiLevelType w:val="hybridMultilevel"/>
    <w:tmpl w:val="8B2A3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010BF8"/>
    <w:multiLevelType w:val="hybridMultilevel"/>
    <w:tmpl w:val="A17C9BA6"/>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4A77AE"/>
    <w:multiLevelType w:val="hybridMultilevel"/>
    <w:tmpl w:val="5BCAE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5C7B86"/>
    <w:multiLevelType w:val="hybridMultilevel"/>
    <w:tmpl w:val="188A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45FB8"/>
    <w:multiLevelType w:val="hybridMultilevel"/>
    <w:tmpl w:val="B6AC6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69D45EF"/>
    <w:multiLevelType w:val="hybridMultilevel"/>
    <w:tmpl w:val="5920897E"/>
    <w:lvl w:ilvl="0" w:tplc="D2D24C30">
      <w:start w:val="1"/>
      <w:numFmt w:val="decimal"/>
      <w:lvlText w:val="%1."/>
      <w:lvlJc w:val="left"/>
      <w:pPr>
        <w:ind w:left="1080" w:hanging="360"/>
      </w:pPr>
      <w:rPr>
        <w:rFonts w:asciiTheme="minorHAnsi" w:eastAsiaTheme="minorHAnsi" w:hAnsiTheme="minorHAnsi"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2A523E"/>
    <w:multiLevelType w:val="hybridMultilevel"/>
    <w:tmpl w:val="50D8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F2292B"/>
    <w:multiLevelType w:val="hybridMultilevel"/>
    <w:tmpl w:val="30104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AF673A"/>
    <w:multiLevelType w:val="hybridMultilevel"/>
    <w:tmpl w:val="598C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F5156C"/>
    <w:multiLevelType w:val="hybridMultilevel"/>
    <w:tmpl w:val="1CAE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E59B5"/>
    <w:multiLevelType w:val="hybridMultilevel"/>
    <w:tmpl w:val="56C42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910198"/>
    <w:multiLevelType w:val="hybridMultilevel"/>
    <w:tmpl w:val="BADC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6120DF"/>
    <w:multiLevelType w:val="hybridMultilevel"/>
    <w:tmpl w:val="96D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EC1A17"/>
    <w:multiLevelType w:val="hybridMultilevel"/>
    <w:tmpl w:val="EA2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84BEB"/>
    <w:multiLevelType w:val="hybridMultilevel"/>
    <w:tmpl w:val="6F161E88"/>
    <w:lvl w:ilvl="0" w:tplc="D2D24C30">
      <w:start w:val="1"/>
      <w:numFmt w:val="decimal"/>
      <w:lvlText w:val="%1."/>
      <w:lvlJc w:val="left"/>
      <w:pPr>
        <w:ind w:left="7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64A60"/>
    <w:multiLevelType w:val="hybridMultilevel"/>
    <w:tmpl w:val="13922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AF704A"/>
    <w:multiLevelType w:val="hybridMultilevel"/>
    <w:tmpl w:val="43CEC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0"/>
  </w:num>
  <w:num w:numId="4">
    <w:abstractNumId w:val="9"/>
  </w:num>
  <w:num w:numId="5">
    <w:abstractNumId w:val="11"/>
  </w:num>
  <w:num w:numId="6">
    <w:abstractNumId w:val="22"/>
  </w:num>
  <w:num w:numId="7">
    <w:abstractNumId w:val="13"/>
  </w:num>
  <w:num w:numId="8">
    <w:abstractNumId w:val="18"/>
  </w:num>
  <w:num w:numId="9">
    <w:abstractNumId w:val="3"/>
  </w:num>
  <w:num w:numId="10">
    <w:abstractNumId w:val="23"/>
  </w:num>
  <w:num w:numId="11">
    <w:abstractNumId w:val="15"/>
  </w:num>
  <w:num w:numId="12">
    <w:abstractNumId w:val="8"/>
  </w:num>
  <w:num w:numId="13">
    <w:abstractNumId w:val="26"/>
  </w:num>
  <w:num w:numId="14">
    <w:abstractNumId w:val="1"/>
  </w:num>
  <w:num w:numId="15">
    <w:abstractNumId w:val="25"/>
  </w:num>
  <w:num w:numId="16">
    <w:abstractNumId w:val="5"/>
  </w:num>
  <w:num w:numId="17">
    <w:abstractNumId w:val="17"/>
  </w:num>
  <w:num w:numId="18">
    <w:abstractNumId w:val="14"/>
  </w:num>
  <w:num w:numId="19">
    <w:abstractNumId w:val="21"/>
  </w:num>
  <w:num w:numId="20">
    <w:abstractNumId w:val="6"/>
  </w:num>
  <w:num w:numId="21">
    <w:abstractNumId w:val="27"/>
  </w:num>
  <w:num w:numId="22">
    <w:abstractNumId w:val="7"/>
  </w:num>
  <w:num w:numId="23">
    <w:abstractNumId w:val="16"/>
  </w:num>
  <w:num w:numId="24">
    <w:abstractNumId w:val="4"/>
  </w:num>
  <w:num w:numId="25">
    <w:abstractNumId w:val="20"/>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04C0F"/>
    <w:rsid w:val="0000706D"/>
    <w:rsid w:val="00013ED5"/>
    <w:rsid w:val="00015141"/>
    <w:rsid w:val="00024B4E"/>
    <w:rsid w:val="00030B11"/>
    <w:rsid w:val="00031E57"/>
    <w:rsid w:val="00033318"/>
    <w:rsid w:val="00043725"/>
    <w:rsid w:val="000557DD"/>
    <w:rsid w:val="0006146F"/>
    <w:rsid w:val="00067324"/>
    <w:rsid w:val="000729CB"/>
    <w:rsid w:val="00073E14"/>
    <w:rsid w:val="00074DC5"/>
    <w:rsid w:val="00081AD2"/>
    <w:rsid w:val="00086535"/>
    <w:rsid w:val="00093C04"/>
    <w:rsid w:val="000A3105"/>
    <w:rsid w:val="000A664A"/>
    <w:rsid w:val="000B0295"/>
    <w:rsid w:val="000B3F54"/>
    <w:rsid w:val="000E575F"/>
    <w:rsid w:val="000E5AAE"/>
    <w:rsid w:val="000E5CCF"/>
    <w:rsid w:val="000F7F57"/>
    <w:rsid w:val="001054A5"/>
    <w:rsid w:val="0011168C"/>
    <w:rsid w:val="00117EF9"/>
    <w:rsid w:val="00123CC3"/>
    <w:rsid w:val="00127E97"/>
    <w:rsid w:val="00135D4B"/>
    <w:rsid w:val="00135F5E"/>
    <w:rsid w:val="001369B2"/>
    <w:rsid w:val="0014045E"/>
    <w:rsid w:val="001450BB"/>
    <w:rsid w:val="00145FA5"/>
    <w:rsid w:val="00146FBA"/>
    <w:rsid w:val="001525A3"/>
    <w:rsid w:val="00161C2B"/>
    <w:rsid w:val="00164916"/>
    <w:rsid w:val="001828B7"/>
    <w:rsid w:val="001A7200"/>
    <w:rsid w:val="001A7E5D"/>
    <w:rsid w:val="001B17DC"/>
    <w:rsid w:val="001B5487"/>
    <w:rsid w:val="001C2239"/>
    <w:rsid w:val="001D6946"/>
    <w:rsid w:val="001F6FB4"/>
    <w:rsid w:val="00207B55"/>
    <w:rsid w:val="00214A97"/>
    <w:rsid w:val="00217E69"/>
    <w:rsid w:val="0022745E"/>
    <w:rsid w:val="00235B69"/>
    <w:rsid w:val="00237CB3"/>
    <w:rsid w:val="0024309F"/>
    <w:rsid w:val="0024604C"/>
    <w:rsid w:val="00250CCD"/>
    <w:rsid w:val="00251854"/>
    <w:rsid w:val="00257AF3"/>
    <w:rsid w:val="00273B77"/>
    <w:rsid w:val="002748B1"/>
    <w:rsid w:val="00282E0A"/>
    <w:rsid w:val="00283021"/>
    <w:rsid w:val="00286629"/>
    <w:rsid w:val="00291E95"/>
    <w:rsid w:val="002924EB"/>
    <w:rsid w:val="002B6325"/>
    <w:rsid w:val="002B70BD"/>
    <w:rsid w:val="002C2DD3"/>
    <w:rsid w:val="002C2FBA"/>
    <w:rsid w:val="002C7742"/>
    <w:rsid w:val="002D0658"/>
    <w:rsid w:val="002D5DEA"/>
    <w:rsid w:val="002D664C"/>
    <w:rsid w:val="002E4357"/>
    <w:rsid w:val="002E45B1"/>
    <w:rsid w:val="002F48DC"/>
    <w:rsid w:val="002F4AEB"/>
    <w:rsid w:val="00302696"/>
    <w:rsid w:val="003128FE"/>
    <w:rsid w:val="00324CF3"/>
    <w:rsid w:val="0032502E"/>
    <w:rsid w:val="0033176A"/>
    <w:rsid w:val="0033286A"/>
    <w:rsid w:val="0035442F"/>
    <w:rsid w:val="00362684"/>
    <w:rsid w:val="0036506D"/>
    <w:rsid w:val="00373A02"/>
    <w:rsid w:val="00374E5B"/>
    <w:rsid w:val="00377C6E"/>
    <w:rsid w:val="003B3A33"/>
    <w:rsid w:val="003C1F65"/>
    <w:rsid w:val="003C3747"/>
    <w:rsid w:val="003E0D8E"/>
    <w:rsid w:val="003E2AC7"/>
    <w:rsid w:val="003F0DC9"/>
    <w:rsid w:val="00405196"/>
    <w:rsid w:val="00420ED3"/>
    <w:rsid w:val="004279FF"/>
    <w:rsid w:val="00433EB8"/>
    <w:rsid w:val="0043502A"/>
    <w:rsid w:val="0044521E"/>
    <w:rsid w:val="00456CF4"/>
    <w:rsid w:val="0046623E"/>
    <w:rsid w:val="004776A0"/>
    <w:rsid w:val="00485155"/>
    <w:rsid w:val="00496871"/>
    <w:rsid w:val="004A6BC9"/>
    <w:rsid w:val="004D0A28"/>
    <w:rsid w:val="004D53AB"/>
    <w:rsid w:val="004F0AC7"/>
    <w:rsid w:val="004F16CF"/>
    <w:rsid w:val="004F505A"/>
    <w:rsid w:val="005103D7"/>
    <w:rsid w:val="00512BE1"/>
    <w:rsid w:val="005171A9"/>
    <w:rsid w:val="0052440D"/>
    <w:rsid w:val="005261E9"/>
    <w:rsid w:val="0052760A"/>
    <w:rsid w:val="00532B24"/>
    <w:rsid w:val="00541C44"/>
    <w:rsid w:val="005533A8"/>
    <w:rsid w:val="005568EC"/>
    <w:rsid w:val="00564B5C"/>
    <w:rsid w:val="00566A38"/>
    <w:rsid w:val="0057068A"/>
    <w:rsid w:val="00570E9A"/>
    <w:rsid w:val="00572012"/>
    <w:rsid w:val="00574A36"/>
    <w:rsid w:val="005764ED"/>
    <w:rsid w:val="005800E4"/>
    <w:rsid w:val="00591948"/>
    <w:rsid w:val="005930A0"/>
    <w:rsid w:val="005972F3"/>
    <w:rsid w:val="005A20A4"/>
    <w:rsid w:val="005A4406"/>
    <w:rsid w:val="005C03E8"/>
    <w:rsid w:val="005C2BA9"/>
    <w:rsid w:val="005C6CC2"/>
    <w:rsid w:val="005C6D82"/>
    <w:rsid w:val="005F379B"/>
    <w:rsid w:val="005F3ED1"/>
    <w:rsid w:val="005F5668"/>
    <w:rsid w:val="005F674F"/>
    <w:rsid w:val="00600A39"/>
    <w:rsid w:val="00604980"/>
    <w:rsid w:val="00605991"/>
    <w:rsid w:val="00605B60"/>
    <w:rsid w:val="00616E1E"/>
    <w:rsid w:val="00630F9B"/>
    <w:rsid w:val="0063630E"/>
    <w:rsid w:val="006379DA"/>
    <w:rsid w:val="006444D7"/>
    <w:rsid w:val="006554C1"/>
    <w:rsid w:val="00667AC1"/>
    <w:rsid w:val="00671C49"/>
    <w:rsid w:val="006813C4"/>
    <w:rsid w:val="00683928"/>
    <w:rsid w:val="006855F8"/>
    <w:rsid w:val="0069587D"/>
    <w:rsid w:val="006A16B8"/>
    <w:rsid w:val="006A1F1F"/>
    <w:rsid w:val="006B3862"/>
    <w:rsid w:val="006B5D0F"/>
    <w:rsid w:val="006C6BC9"/>
    <w:rsid w:val="006E689F"/>
    <w:rsid w:val="006F15FF"/>
    <w:rsid w:val="006F3934"/>
    <w:rsid w:val="0070192A"/>
    <w:rsid w:val="00705406"/>
    <w:rsid w:val="00722CA9"/>
    <w:rsid w:val="00724F63"/>
    <w:rsid w:val="00725F68"/>
    <w:rsid w:val="00731F5C"/>
    <w:rsid w:val="00735D33"/>
    <w:rsid w:val="00736B94"/>
    <w:rsid w:val="0073775A"/>
    <w:rsid w:val="0074220B"/>
    <w:rsid w:val="00765ACD"/>
    <w:rsid w:val="0077220B"/>
    <w:rsid w:val="00772268"/>
    <w:rsid w:val="00781B68"/>
    <w:rsid w:val="00783336"/>
    <w:rsid w:val="00785C59"/>
    <w:rsid w:val="007934FD"/>
    <w:rsid w:val="00796549"/>
    <w:rsid w:val="00796FBD"/>
    <w:rsid w:val="007A6FF8"/>
    <w:rsid w:val="007B5B0F"/>
    <w:rsid w:val="007B64B4"/>
    <w:rsid w:val="007C629F"/>
    <w:rsid w:val="007C77E2"/>
    <w:rsid w:val="007D36C7"/>
    <w:rsid w:val="007E4388"/>
    <w:rsid w:val="007F3117"/>
    <w:rsid w:val="008145DB"/>
    <w:rsid w:val="008218F2"/>
    <w:rsid w:val="008357EC"/>
    <w:rsid w:val="008447C5"/>
    <w:rsid w:val="0085323D"/>
    <w:rsid w:val="008623EC"/>
    <w:rsid w:val="00891C68"/>
    <w:rsid w:val="008A07E3"/>
    <w:rsid w:val="008B0882"/>
    <w:rsid w:val="008B1CD7"/>
    <w:rsid w:val="008B4134"/>
    <w:rsid w:val="008E0FE6"/>
    <w:rsid w:val="008F74F2"/>
    <w:rsid w:val="00926DAC"/>
    <w:rsid w:val="009322EB"/>
    <w:rsid w:val="009344D1"/>
    <w:rsid w:val="00942E2B"/>
    <w:rsid w:val="0094434A"/>
    <w:rsid w:val="009539B2"/>
    <w:rsid w:val="009730F0"/>
    <w:rsid w:val="00981AED"/>
    <w:rsid w:val="009821E5"/>
    <w:rsid w:val="00990D1F"/>
    <w:rsid w:val="009923E9"/>
    <w:rsid w:val="009955C5"/>
    <w:rsid w:val="009A1EF4"/>
    <w:rsid w:val="009A2822"/>
    <w:rsid w:val="009B3346"/>
    <w:rsid w:val="009D7AA8"/>
    <w:rsid w:val="009E1125"/>
    <w:rsid w:val="009E32ED"/>
    <w:rsid w:val="009E78DC"/>
    <w:rsid w:val="009E7FF6"/>
    <w:rsid w:val="009F1D31"/>
    <w:rsid w:val="009F2BD1"/>
    <w:rsid w:val="00A15F9D"/>
    <w:rsid w:val="00A3144A"/>
    <w:rsid w:val="00A335D5"/>
    <w:rsid w:val="00A37FAD"/>
    <w:rsid w:val="00A44F0C"/>
    <w:rsid w:val="00A4641F"/>
    <w:rsid w:val="00A6067C"/>
    <w:rsid w:val="00A6246E"/>
    <w:rsid w:val="00A67D08"/>
    <w:rsid w:val="00A70F04"/>
    <w:rsid w:val="00A71DF1"/>
    <w:rsid w:val="00A72713"/>
    <w:rsid w:val="00A86873"/>
    <w:rsid w:val="00A9678A"/>
    <w:rsid w:val="00AA1F9E"/>
    <w:rsid w:val="00AA53E1"/>
    <w:rsid w:val="00AB03ED"/>
    <w:rsid w:val="00AB0B15"/>
    <w:rsid w:val="00AB7558"/>
    <w:rsid w:val="00AC0CE5"/>
    <w:rsid w:val="00AC2CB9"/>
    <w:rsid w:val="00AC7353"/>
    <w:rsid w:val="00AE05D2"/>
    <w:rsid w:val="00AE5F30"/>
    <w:rsid w:val="00AF2735"/>
    <w:rsid w:val="00B00402"/>
    <w:rsid w:val="00B1500A"/>
    <w:rsid w:val="00B16193"/>
    <w:rsid w:val="00B2323B"/>
    <w:rsid w:val="00B27EF0"/>
    <w:rsid w:val="00B37255"/>
    <w:rsid w:val="00B4414E"/>
    <w:rsid w:val="00B50A92"/>
    <w:rsid w:val="00B55426"/>
    <w:rsid w:val="00B56216"/>
    <w:rsid w:val="00B57A9B"/>
    <w:rsid w:val="00B71FCD"/>
    <w:rsid w:val="00B75CC9"/>
    <w:rsid w:val="00B7641E"/>
    <w:rsid w:val="00B76C72"/>
    <w:rsid w:val="00B84CEB"/>
    <w:rsid w:val="00B8526F"/>
    <w:rsid w:val="00B873E6"/>
    <w:rsid w:val="00B91424"/>
    <w:rsid w:val="00BA716E"/>
    <w:rsid w:val="00BB4447"/>
    <w:rsid w:val="00BC01BD"/>
    <w:rsid w:val="00BC2A14"/>
    <w:rsid w:val="00BC2BC9"/>
    <w:rsid w:val="00BC48FB"/>
    <w:rsid w:val="00BC4FA9"/>
    <w:rsid w:val="00BD278D"/>
    <w:rsid w:val="00BD4073"/>
    <w:rsid w:val="00BE022C"/>
    <w:rsid w:val="00BF164A"/>
    <w:rsid w:val="00BF1788"/>
    <w:rsid w:val="00BF5044"/>
    <w:rsid w:val="00C043AA"/>
    <w:rsid w:val="00C06730"/>
    <w:rsid w:val="00C328F9"/>
    <w:rsid w:val="00C414F7"/>
    <w:rsid w:val="00C416EB"/>
    <w:rsid w:val="00C5420C"/>
    <w:rsid w:val="00C60698"/>
    <w:rsid w:val="00C60DD0"/>
    <w:rsid w:val="00C66B4E"/>
    <w:rsid w:val="00C67E53"/>
    <w:rsid w:val="00C72CB7"/>
    <w:rsid w:val="00C85238"/>
    <w:rsid w:val="00CA785A"/>
    <w:rsid w:val="00CB0FCC"/>
    <w:rsid w:val="00CB340F"/>
    <w:rsid w:val="00CB3767"/>
    <w:rsid w:val="00CC1F2A"/>
    <w:rsid w:val="00CC218B"/>
    <w:rsid w:val="00CC5004"/>
    <w:rsid w:val="00CD1E3B"/>
    <w:rsid w:val="00CD22D2"/>
    <w:rsid w:val="00CF6EF2"/>
    <w:rsid w:val="00D00D15"/>
    <w:rsid w:val="00D16513"/>
    <w:rsid w:val="00D20057"/>
    <w:rsid w:val="00D243A2"/>
    <w:rsid w:val="00D26692"/>
    <w:rsid w:val="00D33C69"/>
    <w:rsid w:val="00D33F31"/>
    <w:rsid w:val="00D350F7"/>
    <w:rsid w:val="00D40CE9"/>
    <w:rsid w:val="00D503B1"/>
    <w:rsid w:val="00D57B06"/>
    <w:rsid w:val="00D72AE2"/>
    <w:rsid w:val="00D814BE"/>
    <w:rsid w:val="00D83573"/>
    <w:rsid w:val="00D87281"/>
    <w:rsid w:val="00D90010"/>
    <w:rsid w:val="00D90642"/>
    <w:rsid w:val="00D9595F"/>
    <w:rsid w:val="00DA3157"/>
    <w:rsid w:val="00DA3DDB"/>
    <w:rsid w:val="00DA4F5E"/>
    <w:rsid w:val="00DC1678"/>
    <w:rsid w:val="00DD164D"/>
    <w:rsid w:val="00DD2B6B"/>
    <w:rsid w:val="00DD61CA"/>
    <w:rsid w:val="00DD63B1"/>
    <w:rsid w:val="00DE7656"/>
    <w:rsid w:val="00DF0426"/>
    <w:rsid w:val="00DF3F66"/>
    <w:rsid w:val="00DF4F90"/>
    <w:rsid w:val="00DF6EE8"/>
    <w:rsid w:val="00E0433A"/>
    <w:rsid w:val="00E10F9A"/>
    <w:rsid w:val="00E16FAD"/>
    <w:rsid w:val="00E22D25"/>
    <w:rsid w:val="00E2772A"/>
    <w:rsid w:val="00E27DCF"/>
    <w:rsid w:val="00E65FB7"/>
    <w:rsid w:val="00E75F2C"/>
    <w:rsid w:val="00E82E95"/>
    <w:rsid w:val="00E844DE"/>
    <w:rsid w:val="00E93629"/>
    <w:rsid w:val="00E95CFE"/>
    <w:rsid w:val="00EA19D4"/>
    <w:rsid w:val="00EB5D6A"/>
    <w:rsid w:val="00EC2CBE"/>
    <w:rsid w:val="00EE6290"/>
    <w:rsid w:val="00EF041D"/>
    <w:rsid w:val="00EF3C7B"/>
    <w:rsid w:val="00F059FD"/>
    <w:rsid w:val="00F1172F"/>
    <w:rsid w:val="00F14FE4"/>
    <w:rsid w:val="00F15EC2"/>
    <w:rsid w:val="00F25768"/>
    <w:rsid w:val="00F30306"/>
    <w:rsid w:val="00F40106"/>
    <w:rsid w:val="00F46CE9"/>
    <w:rsid w:val="00F470EF"/>
    <w:rsid w:val="00F52F2A"/>
    <w:rsid w:val="00F53988"/>
    <w:rsid w:val="00F6206F"/>
    <w:rsid w:val="00F64707"/>
    <w:rsid w:val="00F70E4E"/>
    <w:rsid w:val="00F775CE"/>
    <w:rsid w:val="00F869DE"/>
    <w:rsid w:val="00F93103"/>
    <w:rsid w:val="00F958B7"/>
    <w:rsid w:val="00F96AC7"/>
    <w:rsid w:val="00FA28D7"/>
    <w:rsid w:val="00FB5382"/>
    <w:rsid w:val="00FB5A41"/>
    <w:rsid w:val="00FB6C03"/>
    <w:rsid w:val="00FE1778"/>
    <w:rsid w:val="00FE3186"/>
    <w:rsid w:val="00FF1A54"/>
    <w:rsid w:val="00FF3C3F"/>
    <w:rsid w:val="00FF6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 w:type="paragraph" w:styleId="NoSpacing">
    <w:name w:val="No Spacing"/>
    <w:uiPriority w:val="1"/>
    <w:qFormat/>
    <w:rsid w:val="00074DC5"/>
    <w:pPr>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2B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 w:type="character" w:styleId="FollowedHyperlink">
    <w:name w:val="FollowedHyperlink"/>
    <w:basedOn w:val="DefaultParagraphFont"/>
    <w:uiPriority w:val="99"/>
    <w:semiHidden/>
    <w:unhideWhenUsed/>
    <w:rsid w:val="003B3A33"/>
    <w:rPr>
      <w:color w:val="800080" w:themeColor="followedHyperlink"/>
      <w:u w:val="single"/>
    </w:rPr>
  </w:style>
  <w:style w:type="character" w:customStyle="1" w:styleId="Heading1Char">
    <w:name w:val="Heading 1 Char"/>
    <w:basedOn w:val="DefaultParagraphFont"/>
    <w:link w:val="Heading1"/>
    <w:uiPriority w:val="9"/>
    <w:rsid w:val="009F2BD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EC2CBE"/>
    <w:rPr>
      <w:sz w:val="18"/>
      <w:szCs w:val="18"/>
    </w:rPr>
  </w:style>
  <w:style w:type="paragraph" w:styleId="CommentText">
    <w:name w:val="annotation text"/>
    <w:basedOn w:val="Normal"/>
    <w:link w:val="CommentTextChar"/>
    <w:uiPriority w:val="99"/>
    <w:semiHidden/>
    <w:unhideWhenUsed/>
    <w:rsid w:val="00EC2CBE"/>
    <w:rPr>
      <w:sz w:val="24"/>
      <w:szCs w:val="24"/>
    </w:rPr>
  </w:style>
  <w:style w:type="character" w:customStyle="1" w:styleId="CommentTextChar">
    <w:name w:val="Comment Text Char"/>
    <w:basedOn w:val="DefaultParagraphFont"/>
    <w:link w:val="CommentText"/>
    <w:uiPriority w:val="99"/>
    <w:semiHidden/>
    <w:rsid w:val="00EC2CBE"/>
    <w:rPr>
      <w:sz w:val="24"/>
      <w:szCs w:val="24"/>
    </w:rPr>
  </w:style>
  <w:style w:type="paragraph" w:styleId="CommentSubject">
    <w:name w:val="annotation subject"/>
    <w:basedOn w:val="CommentText"/>
    <w:next w:val="CommentText"/>
    <w:link w:val="CommentSubjectChar"/>
    <w:uiPriority w:val="99"/>
    <w:semiHidden/>
    <w:unhideWhenUsed/>
    <w:rsid w:val="00EC2CBE"/>
    <w:rPr>
      <w:b/>
      <w:bCs/>
      <w:sz w:val="20"/>
      <w:szCs w:val="20"/>
    </w:rPr>
  </w:style>
  <w:style w:type="character" w:customStyle="1" w:styleId="CommentSubjectChar">
    <w:name w:val="Comment Subject Char"/>
    <w:basedOn w:val="CommentTextChar"/>
    <w:link w:val="CommentSubject"/>
    <w:uiPriority w:val="99"/>
    <w:semiHidden/>
    <w:rsid w:val="00EC2CBE"/>
    <w:rPr>
      <w:b/>
      <w:bCs/>
      <w:sz w:val="20"/>
      <w:szCs w:val="20"/>
    </w:rPr>
  </w:style>
  <w:style w:type="paragraph" w:styleId="NoSpacing">
    <w:name w:val="No Spacing"/>
    <w:uiPriority w:val="1"/>
    <w:qFormat/>
    <w:rsid w:val="00074DC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284813">
      <w:bodyDiv w:val="1"/>
      <w:marLeft w:val="0"/>
      <w:marRight w:val="0"/>
      <w:marTop w:val="0"/>
      <w:marBottom w:val="0"/>
      <w:divBdr>
        <w:top w:val="none" w:sz="0" w:space="0" w:color="auto"/>
        <w:left w:val="none" w:sz="0" w:space="0" w:color="auto"/>
        <w:bottom w:val="none" w:sz="0" w:space="0" w:color="auto"/>
        <w:right w:val="none" w:sz="0" w:space="0" w:color="auto"/>
      </w:divBdr>
    </w:div>
    <w:div w:id="104401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57560b730b64f4b93828a8aa7648196 xmlns="1e3cfb8b-67e8-409a-8e98-b4aae18b6997">
      <Terms xmlns="http://schemas.microsoft.com/office/infopath/2007/PartnerControls"/>
    </a57560b730b64f4b93828a8aa7648196>
    <TaxCatchAll xmlns="4a13b0fa-0dfd-49ec-b8eb-3496a5b35ee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7A4135E1E60D4681312C96350CB5DE" ma:contentTypeVersion="3" ma:contentTypeDescription="Create a new document." ma:contentTypeScope="" ma:versionID="1107b068e26aeaa9e69d142d9fb30df4">
  <xsd:schema xmlns:xsd="http://www.w3.org/2001/XMLSchema" xmlns:xs="http://www.w3.org/2001/XMLSchema" xmlns:p="http://schemas.microsoft.com/office/2006/metadata/properties" xmlns:ns2="1e3cfb8b-67e8-409a-8e98-b4aae18b6997" xmlns:ns3="4a13b0fa-0dfd-49ec-b8eb-3496a5b35ee0" targetNamespace="http://schemas.microsoft.com/office/2006/metadata/properties" ma:root="true" ma:fieldsID="f16c27f9cc82f48bc16664f98b4c5dcc" ns2:_="" ns3:_="">
    <xsd:import namespace="1e3cfb8b-67e8-409a-8e98-b4aae18b6997"/>
    <xsd:import namespace="4a13b0fa-0dfd-49ec-b8eb-3496a5b35ee0"/>
    <xsd:element name="properties">
      <xsd:complexType>
        <xsd:sequence>
          <xsd:element name="documentManagement">
            <xsd:complexType>
              <xsd:all>
                <xsd:element ref="ns2:a57560b730b64f4b93828a8aa764819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fb8b-67e8-409a-8e98-b4aae18b6997" elementFormDefault="qualified">
    <xsd:import namespace="http://schemas.microsoft.com/office/2006/documentManagement/types"/>
    <xsd:import namespace="http://schemas.microsoft.com/office/infopath/2007/PartnerControls"/>
    <xsd:element name="a57560b730b64f4b93828a8aa7648196" ma:index="9" nillable="true" ma:taxonomy="true" ma:internalName="a57560b730b64f4b93828a8aa7648196" ma:taxonomyFieldName="Locations" ma:displayName="Locations" ma:indexed="true" ma:default="" ma:fieldId="{a57560b7-30b6-4f4b-9382-8a8aa7648196}" ma:sspId="609b7602-9145-49b7-962e-6645f7c78031" ma:termSetId="c0cd7c06-9749-4de6-9f42-a91e54dcfa22" ma:anchorId="1c8060bb-9e3f-4125-8cd8-498e2e1107f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13b0fa-0dfd-49ec-b8eb-3496a5b35e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0ceac8-6c9f-4c87-ac33-65bc4def9c8d}" ma:internalName="TaxCatchAll" ma:showField="CatchAllData" ma:web="4a13b0fa-0dfd-49ec-b8eb-3496a5b35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0C5D-663E-4B4E-9D75-E60CC149E2E2}">
  <ds:schemaRefs>
    <ds:schemaRef ds:uri="http://schemas.microsoft.com/office/2006/metadata/properties"/>
    <ds:schemaRef ds:uri="http://schemas.microsoft.com/office/infopath/2007/PartnerControls"/>
    <ds:schemaRef ds:uri="1e3cfb8b-67e8-409a-8e98-b4aae18b6997"/>
    <ds:schemaRef ds:uri="4a13b0fa-0dfd-49ec-b8eb-3496a5b35ee0"/>
  </ds:schemaRefs>
</ds:datastoreItem>
</file>

<file path=customXml/itemProps2.xml><?xml version="1.0" encoding="utf-8"?>
<ds:datastoreItem xmlns:ds="http://schemas.openxmlformats.org/officeDocument/2006/customXml" ds:itemID="{28DCEEF5-9D1D-4F1F-9A99-ED0BC0375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fb8b-67e8-409a-8e98-b4aae18b6997"/>
    <ds:schemaRef ds:uri="4a13b0fa-0dfd-49ec-b8eb-3496a5b35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1ED36-850D-426B-BA40-CB0A817DA081}">
  <ds:schemaRefs>
    <ds:schemaRef ds:uri="http://schemas.microsoft.com/sharepoint/v3/contenttype/forms"/>
  </ds:schemaRefs>
</ds:datastoreItem>
</file>

<file path=customXml/itemProps4.xml><?xml version="1.0" encoding="utf-8"?>
<ds:datastoreItem xmlns:ds="http://schemas.openxmlformats.org/officeDocument/2006/customXml" ds:itemID="{C470148D-275F-409B-BC4F-819B2238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Frank Johnson</cp:lastModifiedBy>
  <cp:revision>2</cp:revision>
  <cp:lastPrinted>2013-11-01T13:06:00Z</cp:lastPrinted>
  <dcterms:created xsi:type="dcterms:W3CDTF">2014-06-23T14:19:00Z</dcterms:created>
  <dcterms:modified xsi:type="dcterms:W3CDTF">2014-06-23T14:19:00Z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0x010100207A4135E1E60D4681312C96350CB5DE</vt:lpwstr>
  </property>
</Properties>
</file>